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0"/>
          <w:szCs w:val="56"/>
        </w:rPr>
      </w:pPr>
      <w:r>
        <w:rPr>
          <w:b/>
          <w:bCs/>
          <w:sz w:val="40"/>
          <w:szCs w:val="56"/>
        </w:rPr>
        <w:t>Aktuelle Rechtsfragen im Medizinrecht</w:t>
      </w:r>
    </w:p>
    <w:p>
      <w:pPr>
        <w:pStyle w:val="Normal"/>
        <w:ind w:left="2124" w:hanging="2124"/>
        <w:jc w:val="both"/>
        <w:rPr/>
      </w:pPr>
      <w:r>
        <w:rPr>
          <w:b/>
          <w:i/>
        </w:rPr>
        <w:t>Datum und Ort</w:t>
      </w:r>
      <w:r>
        <w:rPr>
          <w:i/>
        </w:rPr>
        <w:t>:</w:t>
        <w:tab/>
      </w:r>
      <w:r>
        <w:rPr/>
        <w:t>Termine:  Ab dem 20.04.2021, jeweils ab 18 Uhr s.t. in HZ 11, Hörsaalzentrum</w:t>
      </w:r>
    </w:p>
    <w:p>
      <w:pPr>
        <w:pStyle w:val="Normal"/>
        <w:rPr/>
      </w:pPr>
      <w:r>
        <w:rPr>
          <w:b/>
          <w:i/>
        </w:rPr>
        <w:t>Schwerpunktbereiche</w:t>
      </w:r>
      <w:r>
        <w:rPr>
          <w:i/>
        </w:rPr>
        <w:t>:</w:t>
        <w:tab/>
      </w:r>
      <w:r>
        <w:rPr/>
        <w:t xml:space="preserve"> </w:t>
      </w:r>
      <w:r>
        <w:rPr>
          <w:b/>
          <w:bCs/>
        </w:rPr>
        <w:t>SPB 2 und 5</w:t>
      </w:r>
    </w:p>
    <w:p>
      <w:pPr>
        <w:pStyle w:val="Normal"/>
        <w:rPr>
          <w:b/>
          <w:b/>
          <w:i/>
          <w:i/>
        </w:rPr>
      </w:pPr>
      <w:r>
        <w:rPr>
          <w:b/>
          <w:i/>
          <w:color w:val="000000" w:themeColor="text1"/>
        </w:rPr>
        <w:t>Vorbesprechung</w:t>
      </w:r>
      <w:r>
        <w:rPr>
          <w:b/>
          <w:i/>
        </w:rPr>
        <w:t>:</w:t>
        <w:tab/>
        <w:t xml:space="preserve"> 19.01.2021, Uhrzeit: 16 Uhr (Zoom) </w:t>
      </w:r>
    </w:p>
    <w:p>
      <w:pPr>
        <w:pStyle w:val="Normal"/>
        <w:ind w:left="2124" w:hanging="2124"/>
        <w:rPr/>
      </w:pPr>
      <w:r>
        <w:rPr>
          <w:b/>
          <w:i/>
        </w:rPr>
        <w:t>Anmeldung</w:t>
      </w:r>
      <w:r>
        <w:rPr>
          <w:i/>
        </w:rPr>
        <w:t>:</w:t>
        <w:tab/>
      </w:r>
      <w:r>
        <w:rPr/>
        <w:t>in der Vorbesprechung oder</w:t>
      </w:r>
      <w:r>
        <w:rPr>
          <w:i/>
        </w:rPr>
        <w:t xml:space="preserve"> </w:t>
      </w:r>
      <w:r>
        <w:rPr/>
        <w:t>per Email an ole.ziegler</w:t>
      </w:r>
      <w:hyperlink r:id="rId2">
        <w:r>
          <w:rPr>
            <w:rStyle w:val="Internetverknpfung"/>
            <w:i/>
            <w:color w:val="auto"/>
            <w:u w:val="none"/>
          </w:rPr>
          <w:t>@plagemann-rae.de</w:t>
        </w:r>
      </w:hyperlink>
      <w:r>
        <w:rPr/>
        <w:t xml:space="preserve"> </w:t>
      </w:r>
      <w:r>
        <w:rPr>
          <w:sz w:val="16"/>
          <w:szCs w:val="16"/>
        </w:rPr>
        <w:t>(bitte Matrikelnummer und Themenwunsch angeben – Teilnehmer der Vorbesprechung werden in Bezug auf den Themenwunsch vorrangig behandelt! Die Teilnehmerzahl ist auf 12 Personen begrenzt!)</w:t>
      </w:r>
    </w:p>
    <w:p>
      <w:pPr>
        <w:pStyle w:val="Normal"/>
        <w:rPr>
          <w:b/>
          <w:b/>
          <w:i/>
          <w:i/>
        </w:rPr>
      </w:pPr>
      <w:r>
        <w:rPr>
          <w:b/>
          <w:i/>
        </w:rPr>
        <w:t>Leistungsnachweis:</w:t>
        <w:tab/>
      </w:r>
      <w:r>
        <w:rPr/>
        <w:t>Seminararbeit und Impulsreferat sowie Moderation</w:t>
      </w:r>
      <w:r>
        <w:rPr>
          <w:b/>
          <w:i/>
        </w:rPr>
        <w:t xml:space="preserve"> </w:t>
      </w:r>
    </w:p>
    <w:p>
      <w:pPr>
        <w:pStyle w:val="Normal"/>
        <w:numPr>
          <w:ilvl w:val="0"/>
          <w:numId w:val="0"/>
        </w:numPr>
        <w:spacing w:beforeAutospacing="1" w:afterAutospacing="1"/>
        <w:jc w:val="both"/>
        <w:outlineLvl w:val="2"/>
        <w:rPr/>
      </w:pPr>
      <w:r>
        <w:rPr>
          <w:b/>
          <w:bCs/>
          <w:i/>
        </w:rPr>
        <w:t>Inhalt der Veranstaltung:</w:t>
      </w:r>
    </w:p>
    <w:p>
      <w:pPr>
        <w:pStyle w:val="Normal"/>
        <w:rPr>
          <w:rFonts w:cs="Calibri" w:cstheme="minorHAnsi"/>
          <w:b/>
          <w:b/>
          <w:bCs/>
        </w:rPr>
      </w:pPr>
      <w:r>
        <w:rPr>
          <w:rFonts w:cs="Calibri" w:cstheme="minorHAnsi"/>
          <w:color w:val="000000"/>
        </w:rPr>
        <w:t xml:space="preserve">Beim Medizinrecht handelt es sich um eine Querschnittsmaterie, welche öffentlich-rechtliche, strafrechtliche und zivilrechtliche Gesichtspunkte berührt. Das Seminar will diesen Verbindungen anhand aktueller Fragestellungen unter Einbeziehung neuester gesetzgeberischer sowie richterlicher Entwicklungen nachspüren und es den Studierenden ermöglichen, einen vertieften Einblick zu gewinnen. </w:t>
      </w:r>
      <w:r>
        <w:br w:type="page"/>
      </w:r>
    </w:p>
    <w:p>
      <w:pPr>
        <w:pStyle w:val="Normal"/>
        <w:rPr>
          <w:b/>
          <w:b/>
          <w:bCs/>
          <w:sz w:val="28"/>
        </w:rPr>
      </w:pPr>
      <w:r>
        <w:rPr>
          <w:b/>
          <w:bCs/>
          <w:sz w:val="28"/>
        </w:rPr>
        <w:t xml:space="preserve">Themen </w:t>
      </w:r>
    </w:p>
    <w:tbl>
      <w:tblPr>
        <w:tblW w:w="9624" w:type="dxa"/>
        <w:jc w:val="left"/>
        <w:tblInd w:w="0" w:type="dxa"/>
        <w:tbl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blBorders>
        <w:tblCellMar>
          <w:top w:w="0" w:type="dxa"/>
          <w:left w:w="107" w:type="dxa"/>
          <w:bottom w:w="0" w:type="dxa"/>
          <w:right w:w="108" w:type="dxa"/>
        </w:tblCellMar>
        <w:tblLook w:firstRow="1" w:noVBand="0" w:lastRow="1" w:firstColumn="1" w:lastColumn="1" w:noHBand="0" w:val="01e0"/>
      </w:tblPr>
      <w:tblGrid>
        <w:gridCol w:w="709"/>
        <w:gridCol w:w="4946"/>
        <w:gridCol w:w="993"/>
        <w:gridCol w:w="2975"/>
      </w:tblGrid>
      <w:tr>
        <w:trPr>
          <w:trHeight w:val="794" w:hRule="atLeast"/>
        </w:trPr>
        <w:tc>
          <w:tcPr>
            <w:tcW w:w="709" w:type="dxa"/>
            <w:tc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cBorders>
            <w:shd w:color="auto" w:fill="E6E6E6" w:val="clear"/>
          </w:tcPr>
          <w:p>
            <w:pPr>
              <w:pStyle w:val="Normal"/>
              <w:spacing w:before="0" w:after="0"/>
              <w:rPr>
                <w:b/>
                <w:b/>
                <w:bCs/>
              </w:rPr>
            </w:pPr>
            <w:r>
              <w:rPr>
                <w:b/>
                <w:bCs/>
              </w:rPr>
              <w:t>Nr.</w:t>
            </w:r>
          </w:p>
        </w:tc>
        <w:tc>
          <w:tcPr>
            <w:tcW w:w="4946"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E6E6E6" w:val="clear"/>
          </w:tcPr>
          <w:p>
            <w:pPr>
              <w:pStyle w:val="Normal"/>
              <w:spacing w:before="0" w:after="0"/>
              <w:rPr>
                <w:b/>
                <w:b/>
              </w:rPr>
            </w:pPr>
            <w:r>
              <w:rPr>
                <w:b/>
              </w:rPr>
              <w:t>Thema</w:t>
            </w:r>
          </w:p>
        </w:tc>
        <w:tc>
          <w:tcPr>
            <w:tcW w:w="993" w:type="dxa"/>
            <w:tcBorders>
              <w:top w:val="single" w:sz="12"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E6E6E6" w:val="clear"/>
          </w:tcPr>
          <w:p>
            <w:pPr>
              <w:pStyle w:val="Normal"/>
              <w:spacing w:before="0" w:after="0"/>
              <w:rPr>
                <w:b/>
                <w:b/>
              </w:rPr>
            </w:pPr>
            <w:r>
              <w:rPr>
                <w:b/>
              </w:rPr>
              <w:t>Termin</w:t>
            </w:r>
          </w:p>
        </w:tc>
        <w:tc>
          <w:tcPr>
            <w:tcW w:w="2975"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color="auto" w:fill="E6E6E6" w:val="clear"/>
          </w:tcPr>
          <w:p>
            <w:pPr>
              <w:pStyle w:val="Normal"/>
              <w:spacing w:before="0" w:after="0"/>
              <w:rPr>
                <w:b/>
                <w:b/>
              </w:rPr>
            </w:pPr>
            <w:r>
              <w:rPr>
                <w:b/>
              </w:rPr>
              <w:t>Teilnehmer</w:t>
            </w:r>
          </w:p>
        </w:tc>
      </w:tr>
      <w:tr>
        <w:trPr>
          <w:trHeight w:val="794" w:hRule="atLeast"/>
        </w:trPr>
        <w:tc>
          <w:tcPr>
            <w:tcW w:w="709" w:type="dxa"/>
            <w:tcBorders>
              <w:top w:val="single" w:sz="6" w:space="0" w:color="000000"/>
              <w:left w:val="single" w:sz="12"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numPr>
                <w:ilvl w:val="0"/>
                <w:numId w:val="1"/>
              </w:numPr>
              <w:tabs>
                <w:tab w:val="left" w:pos="317" w:leader="none"/>
              </w:tabs>
              <w:spacing w:before="0" w:after="0"/>
              <w:ind w:left="317" w:hanging="360"/>
              <w:rPr>
                <w:rFonts w:cs="Calibri" w:cstheme="minorHAnsi"/>
                <w:b/>
                <w:b/>
                <w:bCs/>
              </w:rPr>
            </w:pPr>
            <w:r>
              <w:rPr>
                <w:rFonts w:cs="Calibri" w:cstheme="minorHAnsi"/>
                <w:b/>
                <w:bCs/>
              </w:rPr>
            </w:r>
          </w:p>
        </w:tc>
        <w:tc>
          <w:tcPr>
            <w:tcW w:w="4946"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tabs>
                <w:tab w:val="left" w:pos="709" w:leader="none"/>
              </w:tabs>
              <w:spacing w:before="0" w:after="0"/>
              <w:rPr>
                <w:rFonts w:cs="Calibri" w:cstheme="minorHAnsi"/>
                <w:bCs/>
              </w:rPr>
            </w:pPr>
            <w:r>
              <w:rPr>
                <w:rFonts w:cs="Calibri" w:cstheme="minorHAnsi"/>
                <w:bCs/>
              </w:rPr>
              <w:t>Arzthaftungsrechtliche Auswirkungen der elektronischen Patientenakte</w:t>
            </w:r>
          </w:p>
          <w:p>
            <w:pPr>
              <w:pStyle w:val="Normal"/>
              <w:spacing w:before="0" w:after="0"/>
              <w:rPr>
                <w:rFonts w:cs="Calibri" w:cstheme="minorHAnsi"/>
              </w:rPr>
            </w:pPr>
            <w:r>
              <w:rPr>
                <w:rFonts w:cs="Calibri" w:cstheme="minorHAnsi"/>
              </w:rPr>
            </w:r>
          </w:p>
        </w:tc>
        <w:tc>
          <w:tcPr>
            <w:tcW w:w="993"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rPr>
            </w:pPr>
            <w:r>
              <w:rPr>
                <w:rFonts w:cs="Calibri" w:cstheme="minorHAnsi"/>
              </w:rPr>
              <w:t>20.04.</w:t>
            </w:r>
          </w:p>
          <w:p>
            <w:pPr>
              <w:pStyle w:val="Normal"/>
              <w:spacing w:before="0" w:after="0"/>
              <w:rPr>
                <w:rFonts w:cs="Calibri" w:cstheme="minorHAnsi"/>
              </w:rPr>
            </w:pPr>
            <w:r>
              <w:rPr>
                <w:rFonts w:cs="Calibri" w:cstheme="minorHAnsi"/>
                <w:i/>
                <w:color w:val="0070C0"/>
              </w:rPr>
              <w:t>(18:00)</w:t>
            </w:r>
          </w:p>
        </w:tc>
        <w:tc>
          <w:tcPr>
            <w:tcW w:w="2975"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color="auto" w:fill="FFFFFF" w:val="clear"/>
          </w:tcPr>
          <w:p>
            <w:pPr>
              <w:pStyle w:val="Normal"/>
              <w:spacing w:before="0" w:after="0"/>
              <w:rPr>
                <w:rFonts w:cs="Calibri" w:cstheme="minorHAnsi"/>
              </w:rPr>
            </w:pPr>
            <w:r>
              <w:rPr>
                <w:rFonts w:cs="Calibri" w:cstheme="minorHAnsi"/>
              </w:rPr>
              <w:t xml:space="preserve"> </w:t>
            </w:r>
            <w:r>
              <w:rPr>
                <w:rFonts w:cs="Calibri" w:cstheme="minorHAnsi"/>
              </w:rPr>
              <w:t>Schon vergeben</w:t>
            </w:r>
          </w:p>
        </w:tc>
      </w:tr>
      <w:tr>
        <w:trPr>
          <w:trHeight w:val="794" w:hRule="atLeast"/>
        </w:trPr>
        <w:tc>
          <w:tcPr>
            <w:tcW w:w="709" w:type="dxa"/>
            <w:tcBorders>
              <w:top w:val="single" w:sz="6" w:space="0" w:color="000000"/>
              <w:left w:val="single" w:sz="12"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numPr>
                <w:ilvl w:val="0"/>
                <w:numId w:val="1"/>
              </w:numPr>
              <w:tabs>
                <w:tab w:val="left" w:pos="317" w:leader="none"/>
              </w:tabs>
              <w:spacing w:before="0" w:after="0"/>
              <w:ind w:left="317" w:hanging="360"/>
              <w:rPr>
                <w:rFonts w:cs="Calibri" w:cstheme="minorHAnsi"/>
                <w:b/>
                <w:b/>
                <w:bCs/>
              </w:rPr>
            </w:pPr>
            <w:r>
              <w:rPr>
                <w:rFonts w:cs="Calibri" w:cstheme="minorHAnsi"/>
                <w:b/>
                <w:bCs/>
              </w:rPr>
            </w:r>
          </w:p>
        </w:tc>
        <w:tc>
          <w:tcPr>
            <w:tcW w:w="4946"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rPr>
            </w:pPr>
            <w:r>
              <w:rPr>
                <w:rFonts w:cs="Calibri" w:cstheme="minorHAnsi"/>
              </w:rPr>
              <w:t>Rechtliche Aspekte der Telemedizin</w:t>
            </w:r>
          </w:p>
        </w:tc>
        <w:tc>
          <w:tcPr>
            <w:tcW w:w="993"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rPr>
            </w:pPr>
            <w:r>
              <w:rPr>
                <w:rFonts w:cs="Calibri" w:cstheme="minorHAnsi"/>
              </w:rPr>
              <w:t>27.04.</w:t>
            </w:r>
          </w:p>
          <w:p>
            <w:pPr>
              <w:pStyle w:val="Normal"/>
              <w:spacing w:before="0" w:after="0"/>
              <w:rPr>
                <w:rFonts w:cs="Calibri" w:cstheme="minorHAnsi"/>
              </w:rPr>
            </w:pPr>
            <w:r>
              <w:rPr>
                <w:rFonts w:cs="Calibri" w:cstheme="minorHAnsi"/>
                <w:i/>
                <w:color w:val="0070C0"/>
              </w:rPr>
              <w:t>(18:00)</w:t>
            </w:r>
          </w:p>
        </w:tc>
        <w:tc>
          <w:tcPr>
            <w:tcW w:w="2975"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color="auto" w:fill="FFFFFF" w:val="clear"/>
          </w:tcPr>
          <w:p>
            <w:pPr>
              <w:pStyle w:val="Normal"/>
              <w:spacing w:before="0" w:after="0"/>
              <w:rPr>
                <w:rFonts w:cs="Calibri" w:cstheme="minorHAnsi"/>
              </w:rPr>
            </w:pPr>
            <w:r>
              <w:rPr>
                <w:rFonts w:cs="Calibri" w:cstheme="minorHAnsi"/>
              </w:rPr>
              <w:t xml:space="preserve"> </w:t>
            </w:r>
          </w:p>
        </w:tc>
      </w:tr>
      <w:tr>
        <w:trPr>
          <w:trHeight w:val="794" w:hRule="atLeast"/>
        </w:trPr>
        <w:tc>
          <w:tcPr>
            <w:tcW w:w="709" w:type="dxa"/>
            <w:tcBorders>
              <w:top w:val="single" w:sz="6" w:space="0" w:color="000000"/>
              <w:left w:val="single" w:sz="12"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numPr>
                <w:ilvl w:val="0"/>
                <w:numId w:val="1"/>
              </w:numPr>
              <w:tabs>
                <w:tab w:val="left" w:pos="317" w:leader="none"/>
              </w:tabs>
              <w:spacing w:before="0" w:after="0"/>
              <w:ind w:left="317" w:hanging="360"/>
              <w:rPr>
                <w:rFonts w:cs="Calibri" w:cstheme="minorHAnsi"/>
                <w:b/>
                <w:b/>
                <w:bCs/>
              </w:rPr>
            </w:pPr>
            <w:r>
              <w:rPr>
                <w:rFonts w:cs="Calibri" w:cstheme="minorHAnsi"/>
                <w:b/>
                <w:bCs/>
              </w:rPr>
            </w:r>
          </w:p>
        </w:tc>
        <w:tc>
          <w:tcPr>
            <w:tcW w:w="4946"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tabs>
                <w:tab w:val="left" w:pos="709" w:leader="none"/>
              </w:tabs>
              <w:spacing w:before="0" w:after="0"/>
              <w:rPr>
                <w:rFonts w:cs="Calibri" w:cstheme="minorHAnsi"/>
                <w:bCs/>
              </w:rPr>
            </w:pPr>
            <w:r>
              <w:rPr>
                <w:rFonts w:cs="Calibri" w:cstheme="minorHAnsi"/>
                <w:bCs/>
              </w:rPr>
              <w:t>Digitale Gesundheitsanwendungen im GKV-System</w:t>
            </w:r>
          </w:p>
          <w:p>
            <w:pPr>
              <w:pStyle w:val="Normal"/>
              <w:spacing w:before="0" w:after="0"/>
              <w:rPr>
                <w:rFonts w:cs="Calibri" w:cstheme="minorHAnsi"/>
              </w:rPr>
            </w:pPr>
            <w:r>
              <w:rPr>
                <w:rFonts w:cs="Calibri" w:cstheme="minorHAnsi"/>
              </w:rPr>
            </w:r>
          </w:p>
        </w:tc>
        <w:tc>
          <w:tcPr>
            <w:tcW w:w="993"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rPr>
            </w:pPr>
            <w:r>
              <w:rPr>
                <w:rFonts w:cs="Calibri" w:cstheme="minorHAnsi"/>
              </w:rPr>
              <w:t>04.05.</w:t>
            </w:r>
          </w:p>
          <w:p>
            <w:pPr>
              <w:pStyle w:val="Normal"/>
              <w:spacing w:before="0" w:after="0"/>
              <w:rPr>
                <w:rFonts w:cs="Calibri" w:cstheme="minorHAnsi"/>
              </w:rPr>
            </w:pPr>
            <w:r>
              <w:rPr>
                <w:rFonts w:cs="Calibri" w:cstheme="minorHAnsi"/>
                <w:i/>
                <w:color w:val="0070C0"/>
              </w:rPr>
              <w:t>(18:00)</w:t>
            </w:r>
          </w:p>
        </w:tc>
        <w:tc>
          <w:tcPr>
            <w:tcW w:w="2975"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color="auto" w:fill="FFFFFF" w:val="clear"/>
          </w:tcPr>
          <w:p>
            <w:pPr>
              <w:pStyle w:val="Normal"/>
              <w:spacing w:before="0" w:after="0"/>
              <w:rPr>
                <w:rFonts w:cs="Calibri" w:cstheme="minorHAnsi"/>
              </w:rPr>
            </w:pPr>
            <w:r>
              <w:rPr>
                <w:rFonts w:cs="Calibri" w:cstheme="minorHAnsi"/>
              </w:rPr>
              <w:t xml:space="preserve"> </w:t>
            </w:r>
          </w:p>
        </w:tc>
      </w:tr>
      <w:tr>
        <w:trPr>
          <w:trHeight w:val="794" w:hRule="atLeast"/>
        </w:trPr>
        <w:tc>
          <w:tcPr>
            <w:tcW w:w="709" w:type="dxa"/>
            <w:tcBorders>
              <w:top w:val="single" w:sz="6" w:space="0" w:color="000000"/>
              <w:left w:val="single" w:sz="12"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numPr>
                <w:ilvl w:val="0"/>
                <w:numId w:val="1"/>
              </w:numPr>
              <w:tabs>
                <w:tab w:val="left" w:pos="317" w:leader="none"/>
              </w:tabs>
              <w:spacing w:before="0" w:after="0"/>
              <w:ind w:left="317" w:hanging="360"/>
              <w:rPr>
                <w:rFonts w:cs="Calibri" w:cstheme="minorHAnsi"/>
                <w:b/>
                <w:b/>
                <w:bCs/>
              </w:rPr>
            </w:pPr>
            <w:r>
              <w:rPr>
                <w:rFonts w:cs="Calibri" w:cstheme="minorHAnsi"/>
                <w:b/>
                <w:bCs/>
              </w:rPr>
            </w:r>
          </w:p>
        </w:tc>
        <w:tc>
          <w:tcPr>
            <w:tcW w:w="4946"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tabs>
                <w:tab w:val="left" w:pos="709" w:leader="none"/>
              </w:tabs>
              <w:spacing w:before="0" w:after="0"/>
              <w:rPr>
                <w:rFonts w:cs="Calibri" w:cstheme="minorHAnsi"/>
                <w:bCs/>
              </w:rPr>
            </w:pPr>
            <w:r>
              <w:rPr>
                <w:rFonts w:cs="Calibri" w:cstheme="minorHAnsi"/>
                <w:bCs/>
              </w:rPr>
              <w:t>Medizinproduktrechtliche Fragen digitaler Gesundheitsanwendungen</w:t>
            </w:r>
          </w:p>
          <w:p>
            <w:pPr>
              <w:pStyle w:val="Normal"/>
              <w:spacing w:before="0" w:after="0"/>
              <w:rPr>
                <w:rFonts w:cs="Calibri" w:cstheme="minorHAnsi"/>
              </w:rPr>
            </w:pPr>
            <w:r>
              <w:rPr>
                <w:rFonts w:cs="Calibri" w:cstheme="minorHAnsi"/>
              </w:rPr>
            </w:r>
          </w:p>
        </w:tc>
        <w:tc>
          <w:tcPr>
            <w:tcW w:w="993"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rPr>
            </w:pPr>
            <w:r>
              <w:rPr>
                <w:rFonts w:cs="Calibri" w:cstheme="minorHAnsi"/>
              </w:rPr>
              <w:t>04.05.</w:t>
            </w:r>
          </w:p>
          <w:p>
            <w:pPr>
              <w:pStyle w:val="Normal"/>
              <w:spacing w:before="0" w:after="0"/>
              <w:rPr>
                <w:rFonts w:cs="Calibri" w:cstheme="minorHAnsi"/>
              </w:rPr>
            </w:pPr>
            <w:r>
              <w:rPr>
                <w:rFonts w:cs="Calibri" w:cstheme="minorHAnsi"/>
                <w:i/>
                <w:color w:val="0070C0"/>
              </w:rPr>
              <w:t>(18:00)</w:t>
            </w:r>
          </w:p>
        </w:tc>
        <w:tc>
          <w:tcPr>
            <w:tcW w:w="2975"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color="auto" w:fill="FFFFFF" w:val="clear"/>
          </w:tcPr>
          <w:p>
            <w:pPr>
              <w:pStyle w:val="Normal"/>
              <w:spacing w:before="0" w:after="0"/>
              <w:rPr>
                <w:rFonts w:cs="Calibri" w:cstheme="minorHAnsi"/>
              </w:rPr>
            </w:pPr>
            <w:r>
              <w:rPr>
                <w:rFonts w:cs="Calibri" w:cstheme="minorHAnsi"/>
              </w:rPr>
            </w:r>
          </w:p>
        </w:tc>
      </w:tr>
      <w:tr>
        <w:trPr>
          <w:trHeight w:val="794" w:hRule="atLeast"/>
        </w:trPr>
        <w:tc>
          <w:tcPr>
            <w:tcW w:w="709" w:type="dxa"/>
            <w:tcBorders>
              <w:top w:val="single" w:sz="6" w:space="0" w:color="000000"/>
              <w:left w:val="single" w:sz="12"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numPr>
                <w:ilvl w:val="0"/>
                <w:numId w:val="1"/>
              </w:numPr>
              <w:tabs>
                <w:tab w:val="left" w:pos="317" w:leader="none"/>
              </w:tabs>
              <w:spacing w:before="0" w:after="0"/>
              <w:ind w:left="317" w:hanging="360"/>
              <w:rPr>
                <w:rFonts w:cs="Calibri" w:cstheme="minorHAnsi"/>
                <w:b/>
                <w:b/>
                <w:bCs/>
              </w:rPr>
            </w:pPr>
            <w:r>
              <w:rPr>
                <w:rFonts w:cs="Calibri" w:cstheme="minorHAnsi"/>
                <w:b/>
                <w:bCs/>
              </w:rPr>
            </w:r>
          </w:p>
        </w:tc>
        <w:tc>
          <w:tcPr>
            <w:tcW w:w="4946"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tabs>
                <w:tab w:val="left" w:pos="709" w:leader="none"/>
              </w:tabs>
              <w:spacing w:before="0" w:after="0"/>
              <w:rPr>
                <w:rFonts w:cs="Calibri" w:cstheme="minorHAnsi"/>
                <w:bCs/>
              </w:rPr>
            </w:pPr>
            <w:r>
              <w:rPr>
                <w:rFonts w:cs="Calibri" w:cstheme="minorHAnsi"/>
                <w:bCs/>
              </w:rPr>
              <w:t>Das Verhältnis von ärztlicher Schweigepflicht und Datenschutzrecht</w:t>
            </w:r>
          </w:p>
          <w:p>
            <w:pPr>
              <w:pStyle w:val="Normal"/>
              <w:spacing w:before="0" w:after="0"/>
              <w:rPr>
                <w:rFonts w:cs="Calibri" w:cstheme="minorHAnsi"/>
              </w:rPr>
            </w:pPr>
            <w:r>
              <w:rPr>
                <w:rFonts w:cs="Calibri" w:cstheme="minorHAnsi"/>
              </w:rPr>
            </w:r>
          </w:p>
        </w:tc>
        <w:tc>
          <w:tcPr>
            <w:tcW w:w="993"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iCs/>
              </w:rPr>
            </w:pPr>
            <w:r>
              <w:rPr>
                <w:rFonts w:cs="Calibri" w:cstheme="minorHAnsi"/>
                <w:iCs/>
              </w:rPr>
              <w:t>11.05.</w:t>
            </w:r>
          </w:p>
          <w:p>
            <w:pPr>
              <w:pStyle w:val="Normal"/>
              <w:spacing w:before="0" w:after="0"/>
              <w:rPr>
                <w:rFonts w:cs="Calibri" w:cstheme="minorHAnsi"/>
              </w:rPr>
            </w:pPr>
            <w:r>
              <w:rPr>
                <w:rFonts w:cs="Calibri" w:cstheme="minorHAnsi"/>
                <w:i/>
                <w:color w:val="0070C0"/>
              </w:rPr>
              <w:t>(18:00)</w:t>
            </w:r>
          </w:p>
        </w:tc>
        <w:tc>
          <w:tcPr>
            <w:tcW w:w="2975"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color="auto" w:fill="FFFFFF" w:val="clear"/>
          </w:tcPr>
          <w:p>
            <w:pPr>
              <w:pStyle w:val="Normal"/>
              <w:spacing w:before="0" w:after="0"/>
              <w:rPr>
                <w:rFonts w:cs="Calibri" w:cstheme="minorHAnsi"/>
              </w:rPr>
            </w:pPr>
            <w:r>
              <w:rPr>
                <w:rFonts w:cs="Calibri" w:cstheme="minorHAnsi"/>
              </w:rPr>
              <w:t>Schon vergeben</w:t>
            </w:r>
          </w:p>
        </w:tc>
      </w:tr>
      <w:tr>
        <w:trPr>
          <w:trHeight w:val="794" w:hRule="atLeast"/>
        </w:trPr>
        <w:tc>
          <w:tcPr>
            <w:tcW w:w="709" w:type="dxa"/>
            <w:tcBorders>
              <w:top w:val="single" w:sz="6" w:space="0" w:color="000000"/>
              <w:left w:val="single" w:sz="12"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numPr>
                <w:ilvl w:val="0"/>
                <w:numId w:val="1"/>
              </w:numPr>
              <w:tabs>
                <w:tab w:val="left" w:pos="317" w:leader="none"/>
              </w:tabs>
              <w:spacing w:before="0" w:after="0"/>
              <w:ind w:left="317" w:hanging="360"/>
              <w:rPr>
                <w:rFonts w:cs="Calibri" w:cstheme="minorHAnsi"/>
                <w:b/>
                <w:b/>
                <w:bCs/>
              </w:rPr>
            </w:pPr>
            <w:r>
              <w:rPr>
                <w:rFonts w:cs="Calibri" w:cstheme="minorHAnsi"/>
                <w:b/>
                <w:bCs/>
              </w:rPr>
            </w:r>
          </w:p>
        </w:tc>
        <w:tc>
          <w:tcPr>
            <w:tcW w:w="4946"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tabs>
                <w:tab w:val="left" w:pos="709" w:leader="none"/>
              </w:tabs>
              <w:spacing w:before="0" w:after="0"/>
              <w:rPr>
                <w:rFonts w:cs="Calibri" w:cstheme="minorHAnsi"/>
              </w:rPr>
            </w:pPr>
            <w:r>
              <w:rPr>
                <w:rFonts w:cs="Calibri" w:cstheme="minorHAnsi"/>
                <w:bCs/>
              </w:rPr>
              <w:t>Die Behandlung minderjähriger Patienten</w:t>
            </w:r>
          </w:p>
        </w:tc>
        <w:tc>
          <w:tcPr>
            <w:tcW w:w="993"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iCs/>
              </w:rPr>
            </w:pPr>
            <w:r>
              <w:rPr>
                <w:rFonts w:cs="Calibri" w:cstheme="minorHAnsi"/>
                <w:iCs/>
              </w:rPr>
              <w:t>18.05.</w:t>
            </w:r>
          </w:p>
          <w:p>
            <w:pPr>
              <w:pStyle w:val="Normal"/>
              <w:spacing w:before="0" w:after="0"/>
              <w:rPr>
                <w:rFonts w:cs="Calibri" w:cstheme="minorHAnsi"/>
              </w:rPr>
            </w:pPr>
            <w:r>
              <w:rPr>
                <w:rFonts w:cs="Calibri" w:cstheme="minorHAnsi"/>
                <w:i/>
                <w:color w:val="0070C0"/>
              </w:rPr>
              <w:t>(18:00)</w:t>
            </w:r>
          </w:p>
        </w:tc>
        <w:tc>
          <w:tcPr>
            <w:tcW w:w="2975"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color="auto" w:fill="FFFFFF" w:val="clear"/>
          </w:tcPr>
          <w:p>
            <w:pPr>
              <w:pStyle w:val="Normal"/>
              <w:spacing w:before="0" w:after="0"/>
              <w:rPr>
                <w:rFonts w:cs="Calibri" w:cstheme="minorHAnsi"/>
              </w:rPr>
            </w:pPr>
            <w:r>
              <w:rPr>
                <w:rFonts w:cs="Calibri" w:cstheme="minorHAnsi"/>
              </w:rPr>
              <w:t xml:space="preserve"> </w:t>
            </w:r>
            <w:r>
              <w:rPr>
                <w:rFonts w:cs="Calibri" w:cstheme="minorHAnsi"/>
              </w:rPr>
              <w:t>Schon vergeben</w:t>
            </w:r>
          </w:p>
        </w:tc>
      </w:tr>
      <w:tr>
        <w:trPr>
          <w:trHeight w:val="794" w:hRule="atLeast"/>
        </w:trPr>
        <w:tc>
          <w:tcPr>
            <w:tcW w:w="709" w:type="dxa"/>
            <w:tcBorders>
              <w:top w:val="single" w:sz="6" w:space="0" w:color="000000"/>
              <w:left w:val="single" w:sz="12"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numPr>
                <w:ilvl w:val="0"/>
                <w:numId w:val="1"/>
              </w:numPr>
              <w:tabs>
                <w:tab w:val="left" w:pos="317" w:leader="none"/>
              </w:tabs>
              <w:spacing w:before="0" w:after="0"/>
              <w:ind w:left="317" w:hanging="360"/>
              <w:rPr>
                <w:rFonts w:cs="Calibri" w:cstheme="minorHAnsi"/>
                <w:b/>
                <w:b/>
                <w:bCs/>
              </w:rPr>
            </w:pPr>
            <w:r>
              <w:rPr>
                <w:rFonts w:cs="Calibri" w:cstheme="minorHAnsi"/>
                <w:b/>
                <w:bCs/>
              </w:rPr>
            </w:r>
          </w:p>
        </w:tc>
        <w:tc>
          <w:tcPr>
            <w:tcW w:w="4946"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rPr>
            </w:pPr>
            <w:r>
              <w:rPr>
                <w:rFonts w:cs="Calibri" w:cstheme="minorHAnsi"/>
              </w:rPr>
              <w:t>Aspekte von Triage-Entscheidungen im medizinischen Kontext außerhalb der COVID 19-Pandemie</w:t>
            </w:r>
          </w:p>
        </w:tc>
        <w:tc>
          <w:tcPr>
            <w:tcW w:w="993"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iCs/>
              </w:rPr>
            </w:pPr>
            <w:r>
              <w:rPr>
                <w:rFonts w:cs="Calibri" w:cstheme="minorHAnsi"/>
                <w:iCs/>
              </w:rPr>
              <w:t>25.05.</w:t>
            </w:r>
          </w:p>
          <w:p>
            <w:pPr>
              <w:pStyle w:val="Normal"/>
              <w:spacing w:before="0" w:after="0"/>
              <w:rPr>
                <w:rFonts w:cs="Calibri" w:cstheme="minorHAnsi"/>
              </w:rPr>
            </w:pPr>
            <w:r>
              <w:rPr>
                <w:rFonts w:cs="Calibri" w:cstheme="minorHAnsi"/>
                <w:i/>
                <w:color w:val="0070C0"/>
              </w:rPr>
              <w:t>(18:00)</w:t>
            </w:r>
          </w:p>
        </w:tc>
        <w:tc>
          <w:tcPr>
            <w:tcW w:w="2975"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color="auto" w:fill="FFFFFF" w:val="clear"/>
          </w:tcPr>
          <w:p>
            <w:pPr>
              <w:pStyle w:val="Normal"/>
              <w:spacing w:before="0" w:after="0"/>
              <w:rPr>
                <w:rFonts w:cs="Calibri" w:cstheme="minorHAnsi"/>
              </w:rPr>
            </w:pPr>
            <w:r>
              <w:rPr>
                <w:rFonts w:cs="Calibri" w:cstheme="minorHAnsi"/>
              </w:rPr>
              <w:t xml:space="preserve"> </w:t>
            </w:r>
            <w:r>
              <w:rPr>
                <w:rFonts w:cs="Calibri" w:cstheme="minorHAnsi"/>
              </w:rPr>
              <w:t>Schon vergeben</w:t>
            </w:r>
          </w:p>
        </w:tc>
      </w:tr>
      <w:tr>
        <w:trPr>
          <w:trHeight w:val="794" w:hRule="atLeast"/>
        </w:trPr>
        <w:tc>
          <w:tcPr>
            <w:tcW w:w="709" w:type="dxa"/>
            <w:tcBorders>
              <w:top w:val="single" w:sz="6" w:space="0" w:color="000000"/>
              <w:left w:val="single" w:sz="12"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numPr>
                <w:ilvl w:val="0"/>
                <w:numId w:val="1"/>
              </w:numPr>
              <w:tabs>
                <w:tab w:val="left" w:pos="317" w:leader="none"/>
              </w:tabs>
              <w:spacing w:before="0" w:after="0"/>
              <w:ind w:left="317" w:hanging="360"/>
              <w:rPr>
                <w:rFonts w:cs="Calibri" w:cstheme="minorHAnsi"/>
                <w:b/>
                <w:b/>
                <w:bCs/>
              </w:rPr>
            </w:pPr>
            <w:r>
              <w:rPr>
                <w:rFonts w:cs="Calibri" w:cstheme="minorHAnsi"/>
                <w:b/>
                <w:bCs/>
              </w:rPr>
            </w:r>
          </w:p>
        </w:tc>
        <w:tc>
          <w:tcPr>
            <w:tcW w:w="4946"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rPr>
            </w:pPr>
            <w:r>
              <w:rPr>
                <w:rFonts w:cs="Calibri" w:cstheme="minorHAnsi"/>
              </w:rPr>
              <w:t>Klinische Forschung, insbesondere bei Impfstoffen</w:t>
            </w:r>
          </w:p>
        </w:tc>
        <w:tc>
          <w:tcPr>
            <w:tcW w:w="993"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iCs/>
              </w:rPr>
            </w:pPr>
            <w:r>
              <w:rPr>
                <w:rFonts w:cs="Calibri" w:cstheme="minorHAnsi"/>
                <w:iCs/>
              </w:rPr>
              <w:t>01.06.</w:t>
            </w:r>
          </w:p>
          <w:p>
            <w:pPr>
              <w:pStyle w:val="Normal"/>
              <w:spacing w:before="0" w:after="0"/>
              <w:rPr>
                <w:rFonts w:cs="Calibri" w:cstheme="minorHAnsi"/>
              </w:rPr>
            </w:pPr>
            <w:r>
              <w:rPr>
                <w:rFonts w:cs="Calibri" w:cstheme="minorHAnsi"/>
                <w:i/>
                <w:color w:val="0070C0"/>
              </w:rPr>
              <w:t>(18:00)</w:t>
            </w:r>
          </w:p>
        </w:tc>
        <w:tc>
          <w:tcPr>
            <w:tcW w:w="2975"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color="auto" w:fill="FFFFFF" w:val="clear"/>
          </w:tcPr>
          <w:p>
            <w:pPr>
              <w:pStyle w:val="Normal"/>
              <w:spacing w:before="0" w:after="0"/>
              <w:rPr>
                <w:rFonts w:cs="Calibri" w:cstheme="minorHAnsi"/>
              </w:rPr>
            </w:pPr>
            <w:r>
              <w:rPr>
                <w:rFonts w:cs="Calibri" w:cstheme="minorHAnsi"/>
              </w:rPr>
            </w:r>
          </w:p>
        </w:tc>
      </w:tr>
      <w:tr>
        <w:trPr>
          <w:trHeight w:val="794" w:hRule="atLeast"/>
        </w:trPr>
        <w:tc>
          <w:tcPr>
            <w:tcW w:w="709" w:type="dxa"/>
            <w:tcBorders>
              <w:top w:val="single" w:sz="6" w:space="0" w:color="000000"/>
              <w:left w:val="single" w:sz="12"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numPr>
                <w:ilvl w:val="0"/>
                <w:numId w:val="1"/>
              </w:numPr>
              <w:tabs>
                <w:tab w:val="left" w:pos="317" w:leader="none"/>
              </w:tabs>
              <w:spacing w:before="0" w:after="0"/>
              <w:ind w:left="317" w:hanging="360"/>
              <w:rPr>
                <w:rFonts w:cs="Calibri" w:cstheme="minorHAnsi"/>
                <w:b/>
                <w:b/>
                <w:bCs/>
              </w:rPr>
            </w:pPr>
            <w:r>
              <w:rPr>
                <w:rFonts w:cs="Calibri" w:cstheme="minorHAnsi"/>
                <w:b/>
                <w:bCs/>
              </w:rPr>
            </w:r>
          </w:p>
        </w:tc>
        <w:tc>
          <w:tcPr>
            <w:tcW w:w="4946"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rPr>
            </w:pPr>
            <w:r>
              <w:rPr>
                <w:rFonts w:cs="Calibri" w:cstheme="minorHAnsi"/>
              </w:rPr>
              <w:t>Werbung in der Medizin</w:t>
            </w:r>
          </w:p>
        </w:tc>
        <w:tc>
          <w:tcPr>
            <w:tcW w:w="993"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iCs/>
              </w:rPr>
            </w:pPr>
            <w:r>
              <w:rPr>
                <w:rFonts w:cs="Calibri" w:cstheme="minorHAnsi"/>
                <w:iCs/>
              </w:rPr>
              <w:t>08.06.</w:t>
            </w:r>
          </w:p>
          <w:p>
            <w:pPr>
              <w:pStyle w:val="Normal"/>
              <w:spacing w:before="0" w:after="0"/>
              <w:rPr>
                <w:rFonts w:cs="Calibri" w:cstheme="minorHAnsi"/>
              </w:rPr>
            </w:pPr>
            <w:r>
              <w:rPr>
                <w:rFonts w:cs="Calibri" w:cstheme="minorHAnsi"/>
                <w:i/>
                <w:color w:val="0070C0"/>
              </w:rPr>
              <w:t>(18:00)</w:t>
            </w:r>
          </w:p>
        </w:tc>
        <w:tc>
          <w:tcPr>
            <w:tcW w:w="2975"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color="auto" w:fill="FFFFFF" w:val="clear"/>
          </w:tcPr>
          <w:p>
            <w:pPr>
              <w:pStyle w:val="Normal"/>
              <w:spacing w:before="0" w:after="0"/>
              <w:rPr>
                <w:rFonts w:cs="Calibri" w:cstheme="minorHAnsi"/>
              </w:rPr>
            </w:pPr>
            <w:r>
              <w:rPr>
                <w:rFonts w:cs="Calibri" w:cstheme="minorHAnsi"/>
              </w:rPr>
              <w:t xml:space="preserve"> </w:t>
            </w:r>
            <w:r>
              <w:rPr>
                <w:rFonts w:cs="Calibri" w:cstheme="minorHAnsi"/>
              </w:rPr>
              <w:t>Schon vergeben</w:t>
            </w:r>
          </w:p>
        </w:tc>
      </w:tr>
      <w:tr>
        <w:trPr>
          <w:trHeight w:val="794" w:hRule="atLeast"/>
        </w:trPr>
        <w:tc>
          <w:tcPr>
            <w:tcW w:w="709" w:type="dxa"/>
            <w:tcBorders>
              <w:top w:val="single" w:sz="6" w:space="0" w:color="000000"/>
              <w:left w:val="single" w:sz="12"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numPr>
                <w:ilvl w:val="0"/>
                <w:numId w:val="1"/>
              </w:numPr>
              <w:tabs>
                <w:tab w:val="left" w:pos="317" w:leader="none"/>
              </w:tabs>
              <w:spacing w:before="0" w:after="0"/>
              <w:ind w:left="317" w:hanging="360"/>
              <w:rPr>
                <w:rFonts w:cs="Calibri" w:cstheme="minorHAnsi"/>
                <w:b/>
                <w:b/>
                <w:bCs/>
              </w:rPr>
            </w:pPr>
            <w:r>
              <w:rPr>
                <w:rFonts w:cs="Calibri" w:cstheme="minorHAnsi"/>
                <w:b/>
                <w:bCs/>
              </w:rPr>
            </w:r>
          </w:p>
        </w:tc>
        <w:tc>
          <w:tcPr>
            <w:tcW w:w="4946"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rPr>
            </w:pPr>
            <w:r>
              <w:rPr>
                <w:rFonts w:cs="Calibri" w:cstheme="minorHAnsi"/>
              </w:rPr>
              <w:t>Die Kooperation von Ärzten mit Gesundheitsfachberufen</w:t>
            </w:r>
          </w:p>
        </w:tc>
        <w:tc>
          <w:tcPr>
            <w:tcW w:w="993"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rPr>
            </w:pPr>
            <w:r>
              <w:rPr>
                <w:rFonts w:cs="Calibri" w:cstheme="minorHAnsi"/>
              </w:rPr>
              <w:t>15.06.</w:t>
            </w:r>
          </w:p>
          <w:p>
            <w:pPr>
              <w:pStyle w:val="Normal"/>
              <w:spacing w:before="0" w:after="0"/>
              <w:rPr>
                <w:rFonts w:cs="Calibri" w:cstheme="minorHAnsi"/>
              </w:rPr>
            </w:pPr>
            <w:r>
              <w:rPr>
                <w:rFonts w:cs="Calibri" w:cstheme="minorHAnsi"/>
                <w:i/>
                <w:color w:val="0070C0"/>
              </w:rPr>
              <w:t>(18:00)</w:t>
            </w:r>
          </w:p>
        </w:tc>
        <w:tc>
          <w:tcPr>
            <w:tcW w:w="2975"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color="auto" w:fill="FFFFFF" w:val="clear"/>
          </w:tcPr>
          <w:p>
            <w:pPr>
              <w:pStyle w:val="Normal"/>
              <w:spacing w:before="0" w:after="0"/>
              <w:rPr>
                <w:rFonts w:cs="Calibri" w:cstheme="minorHAnsi"/>
              </w:rPr>
            </w:pPr>
            <w:r>
              <w:rPr>
                <w:rFonts w:cs="Calibri" w:cstheme="minorHAnsi"/>
              </w:rPr>
            </w:r>
          </w:p>
        </w:tc>
      </w:tr>
      <w:tr>
        <w:trPr>
          <w:trHeight w:val="794" w:hRule="atLeast"/>
        </w:trPr>
        <w:tc>
          <w:tcPr>
            <w:tcW w:w="709" w:type="dxa"/>
            <w:tcBorders>
              <w:top w:val="single" w:sz="6" w:space="0" w:color="000000"/>
              <w:left w:val="single" w:sz="12"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numPr>
                <w:ilvl w:val="0"/>
                <w:numId w:val="1"/>
              </w:numPr>
              <w:tabs>
                <w:tab w:val="left" w:pos="317" w:leader="none"/>
              </w:tabs>
              <w:spacing w:before="0" w:after="0"/>
              <w:ind w:left="317" w:hanging="360"/>
              <w:rPr>
                <w:rFonts w:cs="Calibri" w:cstheme="minorHAnsi"/>
                <w:b/>
                <w:b/>
                <w:bCs/>
              </w:rPr>
            </w:pPr>
            <w:r>
              <w:rPr>
                <w:rFonts w:cs="Calibri" w:cstheme="minorHAnsi"/>
                <w:b/>
                <w:bCs/>
              </w:rPr>
            </w:r>
          </w:p>
        </w:tc>
        <w:tc>
          <w:tcPr>
            <w:tcW w:w="4946"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rPr>
            </w:pPr>
            <w:r>
              <w:rPr>
                <w:rFonts w:cs="Calibri" w:cstheme="minorHAnsi"/>
              </w:rPr>
              <w:t xml:space="preserve">Auswirkungen des sog. Verbandssanktionengesetzes auf MVZ und Krankenhäuser </w:t>
            </w:r>
          </w:p>
        </w:tc>
        <w:tc>
          <w:tcPr>
            <w:tcW w:w="993"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iCs/>
              </w:rPr>
            </w:pPr>
            <w:r>
              <w:rPr>
                <w:rFonts w:cs="Calibri" w:cstheme="minorHAnsi"/>
                <w:iCs/>
              </w:rPr>
              <w:t>22.06.</w:t>
            </w:r>
          </w:p>
          <w:p>
            <w:pPr>
              <w:pStyle w:val="Normal"/>
              <w:spacing w:before="0" w:after="0"/>
              <w:rPr>
                <w:rFonts w:cs="Calibri" w:cstheme="minorHAnsi"/>
              </w:rPr>
            </w:pPr>
            <w:r>
              <w:rPr>
                <w:rFonts w:cs="Calibri" w:cstheme="minorHAnsi"/>
                <w:i/>
                <w:color w:val="0070C0"/>
              </w:rPr>
              <w:t>(18:00)</w:t>
            </w:r>
          </w:p>
        </w:tc>
        <w:tc>
          <w:tcPr>
            <w:tcW w:w="2975"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color="auto" w:fill="FFFFFF" w:val="clear"/>
          </w:tcPr>
          <w:p>
            <w:pPr>
              <w:pStyle w:val="Normal"/>
              <w:spacing w:before="0" w:after="0"/>
              <w:rPr>
                <w:rFonts w:cs="Calibri" w:cstheme="minorHAnsi"/>
              </w:rPr>
            </w:pPr>
            <w:r>
              <w:rPr>
                <w:rFonts w:cs="Calibri" w:cstheme="minorHAnsi"/>
              </w:rPr>
              <w:t>Schon vergeben</w:t>
            </w:r>
          </w:p>
        </w:tc>
      </w:tr>
      <w:tr>
        <w:trPr>
          <w:trHeight w:val="794" w:hRule="atLeast"/>
        </w:trPr>
        <w:tc>
          <w:tcPr>
            <w:tcW w:w="709" w:type="dxa"/>
            <w:tcBorders>
              <w:top w:val="single" w:sz="6" w:space="0" w:color="000000"/>
              <w:left w:val="single" w:sz="12"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numPr>
                <w:ilvl w:val="0"/>
                <w:numId w:val="1"/>
              </w:numPr>
              <w:tabs>
                <w:tab w:val="left" w:pos="317" w:leader="none"/>
              </w:tabs>
              <w:spacing w:before="0" w:after="0"/>
              <w:ind w:left="317" w:hanging="360"/>
              <w:rPr>
                <w:rFonts w:cs="Calibri" w:cstheme="minorHAnsi"/>
                <w:b/>
                <w:b/>
                <w:bCs/>
              </w:rPr>
            </w:pPr>
            <w:r>
              <w:rPr>
                <w:rFonts w:cs="Calibri" w:cstheme="minorHAnsi"/>
                <w:b/>
                <w:bCs/>
              </w:rPr>
            </w:r>
          </w:p>
        </w:tc>
        <w:tc>
          <w:tcPr>
            <w:tcW w:w="4946"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rPr>
            </w:pPr>
            <w:r>
              <w:rPr>
                <w:rFonts w:cs="Calibri" w:cstheme="minorHAnsi"/>
              </w:rPr>
              <w:t>Rechtliche Aspekte von Fixierungen im Krankenhaus</w:t>
            </w:r>
          </w:p>
        </w:tc>
        <w:tc>
          <w:tcPr>
            <w:tcW w:w="993"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color="auto" w:fill="FFFFFF" w:val="clear"/>
          </w:tcPr>
          <w:p>
            <w:pPr>
              <w:pStyle w:val="Normal"/>
              <w:spacing w:before="0" w:after="0"/>
              <w:rPr>
                <w:rFonts w:cs="Calibri" w:cstheme="minorHAnsi"/>
                <w:iCs/>
              </w:rPr>
            </w:pPr>
            <w:r>
              <w:rPr>
                <w:rFonts w:cs="Calibri" w:cstheme="minorHAnsi"/>
                <w:i/>
                <w:color w:val="0070C0"/>
              </w:rPr>
              <w:t xml:space="preserve"> </w:t>
            </w:r>
            <w:r>
              <w:rPr>
                <w:rFonts w:cs="Calibri" w:cstheme="minorHAnsi"/>
                <w:iCs/>
              </w:rPr>
              <w:t>29.06.</w:t>
            </w:r>
          </w:p>
          <w:p>
            <w:pPr>
              <w:pStyle w:val="Normal"/>
              <w:spacing w:before="0" w:after="0"/>
              <w:rPr>
                <w:rFonts w:cs="Calibri" w:cstheme="minorHAnsi"/>
              </w:rPr>
            </w:pPr>
            <w:r>
              <w:rPr>
                <w:rFonts w:cs="Calibri" w:cstheme="minorHAnsi"/>
                <w:i/>
                <w:color w:val="0070C0"/>
              </w:rPr>
              <w:t>(18:00)</w:t>
            </w:r>
          </w:p>
        </w:tc>
        <w:tc>
          <w:tcPr>
            <w:tcW w:w="2975" w:type="dxa"/>
            <w:tcBorders>
              <w:top w:val="single" w:sz="6" w:space="0" w:color="000000"/>
              <w:left w:val="single" w:sz="4" w:space="0" w:color="000000"/>
              <w:bottom w:val="single" w:sz="6" w:space="0" w:color="000000"/>
              <w:right w:val="single" w:sz="12" w:space="0" w:color="000000"/>
              <w:insideH w:val="single" w:sz="6" w:space="0" w:color="000000"/>
              <w:insideV w:val="single" w:sz="12" w:space="0" w:color="000000"/>
            </w:tcBorders>
            <w:shd w:color="auto" w:fill="FFFFFF" w:val="clear"/>
          </w:tcPr>
          <w:p>
            <w:pPr>
              <w:pStyle w:val="Normal"/>
              <w:spacing w:before="0" w:after="0"/>
              <w:rPr>
                <w:rFonts w:cs="Calibri" w:cstheme="minorHAnsi"/>
              </w:rPr>
            </w:pPr>
            <w:r>
              <w:rPr>
                <w:rFonts w:cs="Calibri" w:cstheme="minorHAnsi"/>
              </w:rPr>
              <w:t>Schon vergeben</w:t>
            </w:r>
          </w:p>
        </w:tc>
      </w:tr>
    </w:tbl>
    <w:p>
      <w:pPr>
        <w:pStyle w:val="Normal"/>
        <w:rPr>
          <w:rFonts w:cs="Calibri" w:cstheme="minorHAnsi"/>
        </w:rPr>
      </w:pPr>
      <w:r>
        <w:rPr>
          <w:rFonts w:cs="Calibri" w:cstheme="minorHAnsi"/>
        </w:rPr>
      </w:r>
    </w:p>
    <w:p>
      <w:pPr>
        <w:pStyle w:val="Normal"/>
        <w:spacing w:before="0" w:after="200"/>
        <w:rPr/>
      </w:pPr>
      <w:r>
        <w:rPr/>
      </w:r>
    </w:p>
    <w:sectPr>
      <w:headerReference w:type="default" r:id="rId3"/>
      <w:footerReference w:type="default" r:id="rId4"/>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i/>
        <w:i/>
      </w:rPr>
    </w:pPr>
    <w:r>
      <w:rPr>
        <w:i/>
      </w:rPr>
      <w:t>RA Dr. Ole Ziegler</w:t>
      <w:tab/>
      <w:t xml:space="preserve">                              Sommersemester 2021          Aktuelle Rechtsfragen im Medizinrecht</w:t>
    </w:r>
  </w:p>
  <w:p>
    <w:pPr>
      <w:pStyle w:val="Kopfzeile"/>
      <w:rPr>
        <w:i/>
        <w:i/>
      </w:rPr>
    </w:pPr>
    <w:r>
      <w:rPr>
        <w:i/>
      </w:rPr>
      <w:t>(Stand: 19.01.2021)</w:t>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50fe"/>
    <w:pPr>
      <w:widowControl/>
      <w:suppressAutoHyphens w:val="false"/>
      <w:bidi w:val="0"/>
      <w:spacing w:lineRule="auto" w:line="276" w:before="0" w:after="200"/>
      <w:jc w:val="left"/>
    </w:pPr>
    <w:rPr>
      <w:rFonts w:eastAsia="" w:eastAsiaTheme="minorEastAsia" w:ascii="Calibri" w:hAnsi="Calibri" w:cs=""/>
      <w:color w:val="auto"/>
      <w:kern w:val="0"/>
      <w:sz w:val="22"/>
      <w:szCs w:val="22"/>
      <w:lang w:eastAsia="de-DE" w:val="de-DE"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c150fe"/>
    <w:rPr>
      <w:color w:val="0000FF" w:themeColor="hyperlink"/>
      <w:u w:val="single"/>
    </w:rPr>
  </w:style>
  <w:style w:type="character" w:styleId="KopfzeileZchn" w:customStyle="1">
    <w:name w:val="Kopfzeile Zchn"/>
    <w:basedOn w:val="DefaultParagraphFont"/>
    <w:link w:val="Kopfzeile"/>
    <w:uiPriority w:val="99"/>
    <w:qFormat/>
    <w:rsid w:val="00c150fe"/>
    <w:rPr>
      <w:rFonts w:eastAsia="" w:eastAsiaTheme="minorEastAsia"/>
      <w:lang w:eastAsia="de-DE"/>
    </w:rPr>
  </w:style>
  <w:style w:type="character" w:styleId="FuzeileZchn" w:customStyle="1">
    <w:name w:val="Fußzeile Zchn"/>
    <w:basedOn w:val="DefaultParagraphFont"/>
    <w:link w:val="Fuzeile"/>
    <w:uiPriority w:val="99"/>
    <w:qFormat/>
    <w:rsid w:val="00c150fe"/>
    <w:rPr>
      <w:rFonts w:eastAsia="" w:eastAsiaTheme="minorEastAsia"/>
      <w:lang w:eastAsia="de-DE"/>
    </w:rPr>
  </w:style>
  <w:style w:type="character" w:styleId="SprechblasentextZchn" w:customStyle="1">
    <w:name w:val="Sprechblasentext Zchn"/>
    <w:basedOn w:val="DefaultParagraphFont"/>
    <w:link w:val="Sprechblasentext"/>
    <w:uiPriority w:val="99"/>
    <w:semiHidden/>
    <w:qFormat/>
    <w:rsid w:val="00c150fe"/>
    <w:rPr>
      <w:rFonts w:ascii="Tahoma" w:hAnsi="Tahoma" w:eastAsia="" w:cs="Tahoma" w:eastAsiaTheme="minorEastAsia"/>
      <w:sz w:val="16"/>
      <w:szCs w:val="16"/>
      <w:lang w:eastAsia="de-DE"/>
    </w:rPr>
  </w:style>
  <w:style w:type="character" w:styleId="Annotationreference">
    <w:name w:val="annotation reference"/>
    <w:basedOn w:val="DefaultParagraphFont"/>
    <w:uiPriority w:val="99"/>
    <w:semiHidden/>
    <w:unhideWhenUsed/>
    <w:qFormat/>
    <w:rsid w:val="00f17c99"/>
    <w:rPr>
      <w:sz w:val="16"/>
      <w:szCs w:val="16"/>
    </w:rPr>
  </w:style>
  <w:style w:type="character" w:styleId="KommentartextZchn" w:customStyle="1">
    <w:name w:val="Kommentartext Zchn"/>
    <w:basedOn w:val="DefaultParagraphFont"/>
    <w:link w:val="Kommentartext"/>
    <w:uiPriority w:val="99"/>
    <w:semiHidden/>
    <w:qFormat/>
    <w:rsid w:val="00f17c99"/>
    <w:rPr>
      <w:rFonts w:eastAsia="" w:eastAsiaTheme="minorEastAsia"/>
      <w:sz w:val="20"/>
      <w:szCs w:val="20"/>
      <w:lang w:eastAsia="de-DE"/>
    </w:rPr>
  </w:style>
  <w:style w:type="character" w:styleId="KommentarthemaZchn" w:customStyle="1">
    <w:name w:val="Kommentarthema Zchn"/>
    <w:basedOn w:val="KommentartextZchn"/>
    <w:link w:val="Kommentarthema"/>
    <w:uiPriority w:val="99"/>
    <w:semiHidden/>
    <w:qFormat/>
    <w:rsid w:val="00f17c99"/>
    <w:rPr>
      <w:rFonts w:eastAsia="" w:eastAsiaTheme="minorEastAsia"/>
      <w:b/>
      <w:bCs/>
      <w:sz w:val="20"/>
      <w:szCs w:val="20"/>
      <w:lang w:eastAsia="de-DE"/>
    </w:rPr>
  </w:style>
  <w:style w:type="character" w:styleId="ListLabel1">
    <w:name w:val="ListLabel 1"/>
    <w:qFormat/>
    <w:rPr>
      <w:b/>
    </w:rPr>
  </w:style>
  <w:style w:type="character" w:styleId="ListLabel2">
    <w:name w:val="ListLabel 2"/>
    <w:qFormat/>
    <w:rPr>
      <w:rFonts w:eastAsia="" w:cs=""/>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rPr>
  </w:style>
  <w:style w:type="character" w:styleId="ListLabel10">
    <w:name w:val="ListLabel 10"/>
    <w:qFormat/>
    <w:rPr>
      <w:i/>
      <w:color w:val="auto"/>
      <w:u w:val="non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link w:val="KopfzeileZchn"/>
    <w:uiPriority w:val="99"/>
    <w:unhideWhenUsed/>
    <w:rsid w:val="00c150fe"/>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c150fe"/>
    <w:pPr>
      <w:tabs>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c150fe"/>
    <w:pPr>
      <w:spacing w:lineRule="auto" w:line="240" w:before="0" w:after="0"/>
    </w:pPr>
    <w:rPr>
      <w:rFonts w:ascii="Tahoma" w:hAnsi="Tahoma" w:cs="Tahoma"/>
      <w:sz w:val="16"/>
      <w:szCs w:val="16"/>
    </w:rPr>
  </w:style>
  <w:style w:type="paragraph" w:styleId="Annotationtext">
    <w:name w:val="annotation text"/>
    <w:basedOn w:val="Normal"/>
    <w:link w:val="KommentartextZchn"/>
    <w:uiPriority w:val="99"/>
    <w:semiHidden/>
    <w:unhideWhenUsed/>
    <w:qFormat/>
    <w:rsid w:val="00f17c99"/>
    <w:pPr>
      <w:spacing w:lineRule="auto" w:line="240"/>
    </w:pPr>
    <w:rPr>
      <w:sz w:val="20"/>
      <w:szCs w:val="20"/>
    </w:rPr>
  </w:style>
  <w:style w:type="paragraph" w:styleId="Annotationsubject">
    <w:name w:val="annotation subject"/>
    <w:basedOn w:val="Annotationtext"/>
    <w:link w:val="KommentarthemaZchn"/>
    <w:uiPriority w:val="99"/>
    <w:semiHidden/>
    <w:unhideWhenUsed/>
    <w:qFormat/>
    <w:rsid w:val="00f17c99"/>
    <w:pPr/>
    <w:rPr>
      <w:b/>
      <w:bCs/>
    </w:rPr>
  </w:style>
  <w:style w:type="paragraph" w:styleId="ListParagraph">
    <w:name w:val="List Paragraph"/>
    <w:basedOn w:val="Normal"/>
    <w:uiPriority w:val="34"/>
    <w:qFormat/>
    <w:rsid w:val="008b3e61"/>
    <w:pPr>
      <w:spacing w:before="0" w:after="20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erdner@jura.uni-frankfurt.d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3AD53-3677-439E-8E7C-EC0ADA11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LibreOffice/6.0.6.2$Windows_X86_64 LibreOffice_project/0c292870b25a325b5ed35f6b45599d2ea4458e77</Application>
  <Pages>2</Pages>
  <Words>247</Words>
  <Characters>1837</Characters>
  <CharactersWithSpaces>2069</CharactersWithSpaces>
  <Paragraphs>72</Paragraphs>
  <Company>JWG-Uni FFM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2017-11-13T08:42:00Z</dcterms:created>
  <dc:creator>farahat</dc:creator>
  <dc:description/>
  <dc:language>de-DE</dc:language>
  <cp:lastModifiedBy>Ole Ziegler</cp:lastModifiedBy>
  <dcterms:modified xsi:type="dcterms:W3CDTF">2021-01-19T16:39:00Z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JWG-Uni FFM</vt:lpwstr>
  </property>
  <property fmtid="{D5CDD505-2E9C-101B-9397-08002B2CF9AE}" pid="4" name="DOCID">
    <vt:lpwstr>287364758.1</vt:lpwstr>
  </property>
  <property fmtid="{D5CDD505-2E9C-101B-9397-08002B2CF9AE}" pid="5" name="DocSecurity">
    <vt:i4>0</vt:i4>
  </property>
  <property fmtid="{D5CDD505-2E9C-101B-9397-08002B2CF9AE}" pid="6" name="DocumentenNr">
    <vt:lpwstr>287364758.1</vt:lpwstr>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