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497" w:type="dxa"/>
        <w:tblBorders>
          <w:top w:val="single" w:sz="48" w:space="0" w:color="FFCC00"/>
          <w:left w:val="single" w:sz="48" w:space="0" w:color="FFCC00"/>
          <w:bottom w:val="single" w:sz="48" w:space="0" w:color="FFCC00"/>
          <w:right w:val="single" w:sz="48" w:space="0" w:color="FFCC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7"/>
        <w:gridCol w:w="4241"/>
        <w:gridCol w:w="2184"/>
        <w:gridCol w:w="1675"/>
        <w:gridCol w:w="1245"/>
      </w:tblGrid>
      <w:tr w:rsidR="00485593">
        <w:trPr>
          <w:trHeight w:val="1506"/>
        </w:trPr>
        <w:tc>
          <w:tcPr>
            <w:tcW w:w="5528" w:type="dxa"/>
            <w:gridSpan w:val="2"/>
            <w:shd w:val="clear" w:color="FF0000" w:fill="auto"/>
            <w:vAlign w:val="center"/>
          </w:tcPr>
          <w:p w:rsidR="0019003A" w:rsidRDefault="00485593" w:rsidP="00485593">
            <w:pPr>
              <w:pStyle w:val="berschrift4"/>
              <w:spacing w:before="120"/>
              <w:ind w:left="71"/>
              <w:rPr>
                <w:rFonts w:ascii="Arial" w:hAnsi="Arial"/>
              </w:rPr>
            </w:pPr>
            <w:r w:rsidRPr="0019003A">
              <w:rPr>
                <w:rFonts w:ascii="Arial" w:hAnsi="Arial"/>
              </w:rPr>
              <w:t xml:space="preserve">Betriebsanweisung </w:t>
            </w:r>
          </w:p>
          <w:p w:rsidR="00485593" w:rsidRPr="0019003A" w:rsidRDefault="00485593" w:rsidP="00485593">
            <w:pPr>
              <w:pStyle w:val="berschrift4"/>
              <w:spacing w:before="120"/>
              <w:ind w:left="71"/>
              <w:rPr>
                <w:rFonts w:ascii="Arial" w:hAnsi="Arial"/>
                <w:b w:val="0"/>
              </w:rPr>
            </w:pPr>
            <w:r w:rsidRPr="0019003A">
              <w:rPr>
                <w:rFonts w:ascii="Arial" w:hAnsi="Arial"/>
                <w:b w:val="0"/>
              </w:rPr>
              <w:t>für Tätigkeiten mit Gefahrstoffen</w:t>
            </w:r>
          </w:p>
          <w:p w:rsidR="00485593" w:rsidRPr="001902AB" w:rsidRDefault="00485593" w:rsidP="00485593">
            <w:pPr>
              <w:spacing w:line="40" w:lineRule="atLeast"/>
              <w:ind w:left="71"/>
              <w:rPr>
                <w:rFonts w:ascii="Times" w:hAnsi="Times"/>
                <w:noProof/>
                <w:sz w:val="20"/>
                <w:szCs w:val="20"/>
              </w:rPr>
            </w:pPr>
            <w:r w:rsidRPr="0019003A">
              <w:rPr>
                <w:rFonts w:ascii="Arial" w:hAnsi="Arial"/>
                <w:sz w:val="28"/>
                <w:szCs w:val="28"/>
              </w:rPr>
              <w:t>gem. § 14 GefStoffV</w:t>
            </w:r>
            <w:r w:rsidRPr="001902AB">
              <w:rPr>
                <w:rFonts w:ascii="Times" w:hAnsi="Times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104" w:type="dxa"/>
            <w:gridSpan w:val="3"/>
            <w:shd w:val="clear" w:color="FF0000" w:fill="auto"/>
          </w:tcPr>
          <w:p w:rsidR="00485593" w:rsidRPr="001902AB" w:rsidRDefault="00A637A8" w:rsidP="00485593">
            <w:pPr>
              <w:spacing w:line="40" w:lineRule="atLeast"/>
              <w:jc w:val="right"/>
              <w:rPr>
                <w:sz w:val="20"/>
                <w:szCs w:val="20"/>
              </w:rPr>
            </w:pPr>
            <w:r>
              <w:rPr>
                <w:noProof/>
                <w:sz w:val="12"/>
              </w:rPr>
              <w:drawing>
                <wp:anchor distT="0" distB="0" distL="114300" distR="114300" simplePos="0" relativeHeight="251660800" behindDoc="0" locked="0" layoutInCell="1" allowOverlap="1" wp14:anchorId="383B6742" wp14:editId="59F532C8">
                  <wp:simplePos x="0" y="0"/>
                  <wp:positionH relativeFrom="column">
                    <wp:posOffset>1341755</wp:posOffset>
                  </wp:positionH>
                  <wp:positionV relativeFrom="paragraph">
                    <wp:posOffset>14605</wp:posOffset>
                  </wp:positionV>
                  <wp:extent cx="1803400" cy="981075"/>
                  <wp:effectExtent l="0" t="0" r="6350" b="9525"/>
                  <wp:wrapNone/>
                  <wp:docPr id="19" name="Bild 1" descr="logo-sw-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logo-sw-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0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85593" w:rsidRPr="001902AB" w:rsidRDefault="00485593" w:rsidP="00485593">
            <w:pPr>
              <w:spacing w:line="40" w:lineRule="atLeast"/>
              <w:ind w:right="214"/>
              <w:jc w:val="right"/>
              <w:rPr>
                <w:rFonts w:ascii="Times" w:hAnsi="Times"/>
                <w:spacing w:val="10"/>
                <w:sz w:val="20"/>
                <w:szCs w:val="20"/>
              </w:rPr>
            </w:pPr>
          </w:p>
        </w:tc>
      </w:tr>
      <w:tr w:rsidR="00485593">
        <w:tc>
          <w:tcPr>
            <w:tcW w:w="10632" w:type="dxa"/>
            <w:gridSpan w:val="5"/>
            <w:shd w:val="clear" w:color="FF0000" w:fill="auto"/>
          </w:tcPr>
          <w:p w:rsidR="00485593" w:rsidRPr="001902AB" w:rsidRDefault="00485593" w:rsidP="00485593">
            <w:pPr>
              <w:pStyle w:val="berschrift4"/>
              <w:tabs>
                <w:tab w:val="right" w:leader="underscore" w:pos="10278"/>
              </w:tabs>
              <w:spacing w:before="120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0019003A">
              <w:rPr>
                <w:rFonts w:ascii="Arial" w:hAnsi="Arial"/>
                <w:b w:val="0"/>
                <w:szCs w:val="20"/>
              </w:rPr>
              <w:t>Geltungsbereich:</w:t>
            </w:r>
            <w:r w:rsidRPr="0019003A">
              <w:rPr>
                <w:rFonts w:ascii="Arial" w:hAnsi="Arial"/>
                <w:szCs w:val="20"/>
              </w:rPr>
              <w:t xml:space="preserve"> Institut für</w:t>
            </w:r>
            <w:r w:rsidRPr="0019003A">
              <w:rPr>
                <w:rFonts w:ascii="Arial" w:hAnsi="Arial"/>
                <w:b w:val="0"/>
                <w:bCs w:val="0"/>
                <w:szCs w:val="20"/>
              </w:rPr>
              <w:t xml:space="preserve"> </w:t>
            </w:r>
            <w:r w:rsidRPr="00A637A8">
              <w:rPr>
                <w:rFonts w:ascii="Arial" w:hAnsi="Arial"/>
                <w:b w:val="0"/>
                <w:sz w:val="20"/>
                <w:szCs w:val="20"/>
              </w:rPr>
              <w:tab/>
            </w:r>
          </w:p>
          <w:p w:rsidR="00485593" w:rsidRPr="001902AB" w:rsidRDefault="00485593" w:rsidP="00A637A8">
            <w:pPr>
              <w:tabs>
                <w:tab w:val="right" w:leader="underscore" w:pos="10278"/>
              </w:tabs>
              <w:spacing w:before="120"/>
              <w:rPr>
                <w:sz w:val="20"/>
                <w:szCs w:val="20"/>
              </w:rPr>
            </w:pPr>
            <w:r w:rsidRPr="001902AB">
              <w:rPr>
                <w:rFonts w:ascii="Arial" w:hAnsi="Arial"/>
                <w:sz w:val="20"/>
                <w:szCs w:val="20"/>
              </w:rPr>
              <w:t>Bereichsverantwortliche</w:t>
            </w:r>
            <w:r w:rsidR="0019003A">
              <w:rPr>
                <w:rFonts w:ascii="Arial" w:hAnsi="Arial"/>
                <w:sz w:val="20"/>
                <w:szCs w:val="20"/>
              </w:rPr>
              <w:t>*</w:t>
            </w:r>
            <w:r w:rsidRPr="001902AB">
              <w:rPr>
                <w:rFonts w:ascii="Arial" w:hAnsi="Arial"/>
                <w:sz w:val="20"/>
                <w:szCs w:val="20"/>
              </w:rPr>
              <w:t>r</w:t>
            </w:r>
            <w:r w:rsidRPr="001902AB">
              <w:rPr>
                <w:sz w:val="20"/>
                <w:szCs w:val="20"/>
              </w:rPr>
              <w:t>:</w:t>
            </w:r>
            <w:r w:rsidR="001900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003A" w:rsidRPr="0019003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637A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</w:t>
            </w:r>
            <w:r w:rsidR="0019003A" w:rsidRPr="0019003A">
              <w:rPr>
                <w:rFonts w:ascii="Arial" w:hAnsi="Arial" w:cs="Arial"/>
                <w:sz w:val="20"/>
                <w:szCs w:val="20"/>
              </w:rPr>
              <w:t>Datum</w:t>
            </w:r>
            <w:r w:rsidR="00A637A8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85593">
        <w:tc>
          <w:tcPr>
            <w:tcW w:w="10632" w:type="dxa"/>
            <w:gridSpan w:val="5"/>
            <w:shd w:val="clear" w:color="FF0000" w:fill="FFCC00"/>
          </w:tcPr>
          <w:p w:rsidR="00485593" w:rsidRPr="00C30C35" w:rsidRDefault="00485593" w:rsidP="00FB645D">
            <w:pPr>
              <w:pStyle w:val="berschrift4"/>
              <w:spacing w:before="0"/>
              <w:jc w:val="center"/>
              <w:rPr>
                <w:rFonts w:ascii="Arial" w:hAnsi="Arial"/>
                <w:sz w:val="24"/>
                <w:szCs w:val="24"/>
              </w:rPr>
            </w:pPr>
            <w:r w:rsidRPr="00C30C35">
              <w:rPr>
                <w:rFonts w:ascii="Arial" w:hAnsi="Arial"/>
                <w:sz w:val="24"/>
                <w:szCs w:val="24"/>
              </w:rPr>
              <w:t>Gefahrstoffbezeichnung</w:t>
            </w:r>
          </w:p>
        </w:tc>
      </w:tr>
      <w:tr w:rsidR="00485593">
        <w:tc>
          <w:tcPr>
            <w:tcW w:w="10632" w:type="dxa"/>
            <w:gridSpan w:val="5"/>
            <w:shd w:val="clear" w:color="FF0000" w:fill="auto"/>
          </w:tcPr>
          <w:p w:rsidR="00485593" w:rsidRPr="001902AB" w:rsidRDefault="00485593" w:rsidP="00485593">
            <w:pPr>
              <w:spacing w:before="120"/>
              <w:jc w:val="center"/>
              <w:rPr>
                <w:b/>
              </w:rPr>
            </w:pPr>
            <w:r w:rsidRPr="005D025C">
              <w:rPr>
                <w:rFonts w:ascii="Arial" w:hAnsi="Arial"/>
                <w:caps/>
              </w:rPr>
              <w:t>Gefahrstoffe, allgemein</w:t>
            </w:r>
            <w:r w:rsidRPr="001902AB">
              <w:rPr>
                <w:rFonts w:ascii="Arial" w:hAnsi="Arial"/>
                <w:b/>
              </w:rPr>
              <w:br/>
              <w:t>Transport von Gefahrstoffen in Aufzügen</w:t>
            </w:r>
          </w:p>
        </w:tc>
      </w:tr>
      <w:tr w:rsidR="00485593">
        <w:tc>
          <w:tcPr>
            <w:tcW w:w="10632" w:type="dxa"/>
            <w:gridSpan w:val="5"/>
            <w:shd w:val="clear" w:color="FF0000" w:fill="FFCC00"/>
          </w:tcPr>
          <w:p w:rsidR="00485593" w:rsidRPr="00C30C35" w:rsidRDefault="00485593" w:rsidP="00020F8F">
            <w:pPr>
              <w:pStyle w:val="berschrift4"/>
              <w:spacing w:before="0"/>
              <w:jc w:val="center"/>
              <w:rPr>
                <w:rFonts w:ascii="Arial" w:hAnsi="Arial"/>
                <w:sz w:val="24"/>
                <w:szCs w:val="24"/>
              </w:rPr>
            </w:pPr>
            <w:r w:rsidRPr="00C30C35">
              <w:rPr>
                <w:rFonts w:ascii="Arial" w:hAnsi="Arial"/>
                <w:sz w:val="24"/>
                <w:szCs w:val="24"/>
              </w:rPr>
              <w:t>Gefahr für Mensch und Umwelt</w:t>
            </w:r>
          </w:p>
        </w:tc>
      </w:tr>
      <w:tr w:rsidR="00485593" w:rsidTr="00FB645D">
        <w:trPr>
          <w:trHeight w:val="2207"/>
        </w:trPr>
        <w:tc>
          <w:tcPr>
            <w:tcW w:w="1287" w:type="dxa"/>
            <w:shd w:val="clear" w:color="FF0000" w:fill="auto"/>
          </w:tcPr>
          <w:p w:rsidR="00485593" w:rsidRPr="001902AB" w:rsidRDefault="00C531A0" w:rsidP="00485593">
            <w:pPr>
              <w:keepNext/>
              <w:tabs>
                <w:tab w:val="left" w:pos="2694"/>
                <w:tab w:val="left" w:pos="5387"/>
                <w:tab w:val="left" w:pos="6946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17780</wp:posOffset>
                  </wp:positionV>
                  <wp:extent cx="675005" cy="675005"/>
                  <wp:effectExtent l="0" t="0" r="0" b="0"/>
                  <wp:wrapNone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05" cy="675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85593" w:rsidRDefault="00485593" w:rsidP="00485593">
            <w:pPr>
              <w:tabs>
                <w:tab w:val="center" w:pos="6096"/>
              </w:tabs>
              <w:jc w:val="center"/>
              <w:rPr>
                <w:rFonts w:ascii="Arial" w:hAnsi="Arial"/>
                <w:b/>
              </w:rPr>
            </w:pPr>
          </w:p>
          <w:p w:rsidR="00485593" w:rsidRDefault="00485593" w:rsidP="00485593">
            <w:pPr>
              <w:jc w:val="center"/>
              <w:rPr>
                <w:rFonts w:ascii="Arial" w:hAnsi="Arial"/>
                <w:b/>
              </w:rPr>
            </w:pPr>
          </w:p>
          <w:p w:rsidR="00485593" w:rsidRPr="00965000" w:rsidRDefault="00C531A0" w:rsidP="0048559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243840</wp:posOffset>
                  </wp:positionV>
                  <wp:extent cx="668655" cy="668655"/>
                  <wp:effectExtent l="0" t="0" r="0" b="0"/>
                  <wp:wrapNone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668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00" w:type="dxa"/>
            <w:gridSpan w:val="3"/>
            <w:shd w:val="clear" w:color="FF0000" w:fill="auto"/>
          </w:tcPr>
          <w:p w:rsidR="00EC77A5" w:rsidRDefault="00485593" w:rsidP="00FB78B3">
            <w:pPr>
              <w:ind w:left="67"/>
              <w:rPr>
                <w:rFonts w:ascii="Arial" w:hAnsi="Arial" w:cs="Arial"/>
                <w:sz w:val="20"/>
                <w:szCs w:val="20"/>
              </w:rPr>
            </w:pPr>
            <w:r w:rsidRPr="00096145">
              <w:rPr>
                <w:rFonts w:ascii="Arial" w:hAnsi="Arial" w:cs="Arial"/>
                <w:sz w:val="20"/>
                <w:szCs w:val="20"/>
              </w:rPr>
              <w:t xml:space="preserve">Wenn </w:t>
            </w:r>
          </w:p>
          <w:p w:rsidR="00020F8F" w:rsidRDefault="00485593" w:rsidP="00FB78B3">
            <w:pPr>
              <w:ind w:left="67"/>
              <w:rPr>
                <w:rFonts w:ascii="Arial" w:hAnsi="Arial" w:cs="Arial"/>
                <w:sz w:val="20"/>
                <w:szCs w:val="20"/>
              </w:rPr>
            </w:pPr>
            <w:r w:rsidRPr="00096145">
              <w:rPr>
                <w:rFonts w:ascii="Arial" w:hAnsi="Arial" w:cs="Arial"/>
                <w:b/>
                <w:sz w:val="20"/>
                <w:szCs w:val="20"/>
              </w:rPr>
              <w:t>Gefahrstoffe</w:t>
            </w:r>
            <w:r w:rsidR="00020F8F">
              <w:rPr>
                <w:rFonts w:ascii="Arial" w:hAnsi="Arial" w:cs="Arial"/>
                <w:sz w:val="20"/>
                <w:szCs w:val="20"/>
              </w:rPr>
              <w:t xml:space="preserve">, wie z. B. </w:t>
            </w:r>
            <w:r w:rsidR="00096145" w:rsidRPr="00096145">
              <w:rPr>
                <w:rFonts w:ascii="Arial" w:hAnsi="Arial" w:cs="Arial"/>
                <w:sz w:val="20"/>
                <w:szCs w:val="20"/>
              </w:rPr>
              <w:t xml:space="preserve">sehr giftige, giftige, leicht- und hochentzündliche und </w:t>
            </w:r>
            <w:r w:rsidR="001A5C76">
              <w:rPr>
                <w:rFonts w:ascii="Arial" w:hAnsi="Arial" w:cs="Arial"/>
                <w:sz w:val="20"/>
                <w:szCs w:val="20"/>
              </w:rPr>
              <w:t>ätzende Flüssigkeiten oder Gase</w:t>
            </w:r>
            <w:r w:rsidR="00096145" w:rsidRPr="00096145">
              <w:rPr>
                <w:rFonts w:ascii="Arial" w:hAnsi="Arial" w:cs="Arial"/>
                <w:sz w:val="20"/>
                <w:szCs w:val="20"/>
              </w:rPr>
              <w:t xml:space="preserve"> sowie tiefkalte Gase</w:t>
            </w:r>
            <w:r w:rsidR="001A5C76">
              <w:rPr>
                <w:rFonts w:ascii="Arial" w:hAnsi="Arial" w:cs="Arial"/>
                <w:sz w:val="20"/>
                <w:szCs w:val="20"/>
              </w:rPr>
              <w:t>,</w:t>
            </w:r>
            <w:r w:rsidR="00096145" w:rsidRPr="00096145">
              <w:rPr>
                <w:rFonts w:ascii="Arial" w:hAnsi="Arial" w:cs="Arial"/>
                <w:sz w:val="20"/>
                <w:szCs w:val="20"/>
              </w:rPr>
              <w:t xml:space="preserve"> wie flüssiger Stickstoff oder festes Kohlendioxid (Trockeneis)</w:t>
            </w:r>
            <w:r w:rsidR="00020F8F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096145" w:rsidRDefault="00485593" w:rsidP="00FB78B3">
            <w:pPr>
              <w:ind w:left="67"/>
              <w:rPr>
                <w:rFonts w:ascii="Arial" w:hAnsi="Arial" w:cs="Arial"/>
                <w:sz w:val="20"/>
                <w:szCs w:val="20"/>
              </w:rPr>
            </w:pPr>
            <w:r w:rsidRPr="00096145">
              <w:rPr>
                <w:rFonts w:ascii="Arial" w:hAnsi="Arial" w:cs="Arial"/>
                <w:sz w:val="20"/>
                <w:szCs w:val="20"/>
              </w:rPr>
              <w:t>während</w:t>
            </w:r>
            <w:r w:rsidRPr="005D025C">
              <w:rPr>
                <w:rFonts w:ascii="Arial" w:hAnsi="Arial" w:cs="Arial"/>
                <w:sz w:val="20"/>
                <w:szCs w:val="20"/>
              </w:rPr>
              <w:t xml:space="preserve"> des Transportes in Aufzügen aus ihrer Verpackung austreten, haben Beschäftigte, die sich zusammen mit den Gefahrstoffen im Aufzug </w:t>
            </w:r>
            <w:r w:rsidR="00727AF2">
              <w:rPr>
                <w:rFonts w:ascii="Arial" w:hAnsi="Arial" w:cs="Arial"/>
                <w:sz w:val="20"/>
                <w:szCs w:val="20"/>
              </w:rPr>
              <w:t>aufhalten</w:t>
            </w:r>
            <w:r w:rsidRPr="005D025C">
              <w:rPr>
                <w:rFonts w:ascii="Arial" w:hAnsi="Arial" w:cs="Arial"/>
                <w:sz w:val="20"/>
                <w:szCs w:val="20"/>
              </w:rPr>
              <w:t xml:space="preserve">, keine Möglichkeit, sich den </w:t>
            </w:r>
            <w:r w:rsidR="00020F8F">
              <w:rPr>
                <w:rFonts w:ascii="Arial" w:hAnsi="Arial" w:cs="Arial"/>
                <w:sz w:val="20"/>
                <w:szCs w:val="20"/>
              </w:rPr>
              <w:t xml:space="preserve">gesundheitsschädlichen </w:t>
            </w:r>
            <w:r w:rsidRPr="005D025C">
              <w:rPr>
                <w:rFonts w:ascii="Arial" w:hAnsi="Arial" w:cs="Arial"/>
                <w:sz w:val="20"/>
                <w:szCs w:val="20"/>
              </w:rPr>
              <w:t>Einwirkungen der Gefahrstoffe durch sofortige Flucht zu entziehen.</w:t>
            </w:r>
            <w:r w:rsidR="005D02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85593" w:rsidRDefault="00485593" w:rsidP="00FB78B3">
            <w:pPr>
              <w:ind w:left="67"/>
              <w:rPr>
                <w:rFonts w:ascii="Arial" w:hAnsi="Arial"/>
                <w:b/>
                <w:sz w:val="22"/>
              </w:rPr>
            </w:pPr>
            <w:r w:rsidRPr="005D025C">
              <w:rPr>
                <w:rFonts w:ascii="Arial" w:hAnsi="Arial" w:cs="Arial"/>
                <w:sz w:val="20"/>
                <w:szCs w:val="20"/>
              </w:rPr>
              <w:t xml:space="preserve">Aufzüge </w:t>
            </w:r>
            <w:r w:rsidR="005D025C">
              <w:rPr>
                <w:rFonts w:ascii="Arial" w:hAnsi="Arial" w:cs="Arial"/>
                <w:sz w:val="20"/>
                <w:szCs w:val="20"/>
              </w:rPr>
              <w:t xml:space="preserve">können durch technische Störungen ‚stecken bleiben‘ und </w:t>
            </w:r>
            <w:r w:rsidR="00096145">
              <w:rPr>
                <w:rFonts w:ascii="Arial" w:hAnsi="Arial" w:cs="Arial"/>
                <w:sz w:val="20"/>
                <w:szCs w:val="20"/>
              </w:rPr>
              <w:t>Betroffene</w:t>
            </w:r>
            <w:r w:rsidRPr="005D02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025C">
              <w:rPr>
                <w:rFonts w:ascii="Arial" w:hAnsi="Arial" w:cs="Arial"/>
                <w:sz w:val="20"/>
                <w:szCs w:val="20"/>
              </w:rPr>
              <w:t>wären dann gezwungen</w:t>
            </w:r>
            <w:r w:rsidRPr="005D025C">
              <w:rPr>
                <w:rFonts w:ascii="Arial" w:hAnsi="Arial" w:cs="Arial"/>
                <w:sz w:val="20"/>
                <w:szCs w:val="20"/>
              </w:rPr>
              <w:t xml:space="preserve">, sich längere Zeit </w:t>
            </w:r>
            <w:r w:rsidR="005D025C">
              <w:rPr>
                <w:rFonts w:ascii="Arial" w:hAnsi="Arial" w:cs="Arial"/>
                <w:sz w:val="20"/>
                <w:szCs w:val="20"/>
              </w:rPr>
              <w:t>im Aufzug</w:t>
            </w:r>
            <w:r w:rsidRPr="005D025C">
              <w:rPr>
                <w:rFonts w:ascii="Arial" w:hAnsi="Arial" w:cs="Arial"/>
                <w:sz w:val="20"/>
                <w:szCs w:val="20"/>
              </w:rPr>
              <w:t xml:space="preserve"> aufzuhalten.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245" w:type="dxa"/>
            <w:shd w:val="clear" w:color="FF0000" w:fill="auto"/>
          </w:tcPr>
          <w:p w:rsidR="00485593" w:rsidRDefault="00485593" w:rsidP="00485593">
            <w:pPr>
              <w:keepNext/>
              <w:tabs>
                <w:tab w:val="left" w:pos="2694"/>
                <w:tab w:val="left" w:pos="5387"/>
                <w:tab w:val="left" w:pos="6946"/>
              </w:tabs>
              <w:jc w:val="center"/>
              <w:rPr>
                <w:rFonts w:ascii="Arial" w:hAnsi="Arial"/>
                <w:b/>
              </w:rPr>
            </w:pPr>
          </w:p>
          <w:p w:rsidR="00485593" w:rsidRDefault="00485593" w:rsidP="00485593">
            <w:pPr>
              <w:tabs>
                <w:tab w:val="center" w:pos="6096"/>
              </w:tabs>
              <w:jc w:val="center"/>
              <w:rPr>
                <w:rFonts w:ascii="Arial" w:hAnsi="Arial"/>
                <w:b/>
              </w:rPr>
            </w:pPr>
          </w:p>
          <w:p w:rsidR="00485593" w:rsidRDefault="00C531A0" w:rsidP="00485593">
            <w:r>
              <w:rPr>
                <w:noProof/>
              </w:rPr>
              <w:drawing>
                <wp:inline distT="0" distB="0" distL="0" distR="0">
                  <wp:extent cx="661670" cy="661670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670" cy="661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5593" w:rsidTr="00FB645D">
        <w:trPr>
          <w:trHeight w:val="282"/>
        </w:trPr>
        <w:tc>
          <w:tcPr>
            <w:tcW w:w="10632" w:type="dxa"/>
            <w:gridSpan w:val="5"/>
            <w:shd w:val="clear" w:color="FF0000" w:fill="FFCC00"/>
          </w:tcPr>
          <w:p w:rsidR="00485593" w:rsidRPr="00C30C35" w:rsidRDefault="00485593" w:rsidP="00FB645D">
            <w:pPr>
              <w:pStyle w:val="berschrift4"/>
              <w:spacing w:before="0"/>
              <w:jc w:val="center"/>
              <w:rPr>
                <w:rFonts w:ascii="Arial" w:hAnsi="Arial"/>
                <w:sz w:val="24"/>
                <w:szCs w:val="24"/>
              </w:rPr>
            </w:pPr>
            <w:r w:rsidRPr="00C30C35">
              <w:rPr>
                <w:rFonts w:ascii="Arial" w:hAnsi="Arial"/>
                <w:sz w:val="24"/>
                <w:szCs w:val="24"/>
              </w:rPr>
              <w:t>Schutzmaßnahmen und Verhaltensregeln</w:t>
            </w:r>
          </w:p>
        </w:tc>
      </w:tr>
      <w:tr w:rsidR="001A5C76" w:rsidTr="00DC093A">
        <w:trPr>
          <w:trHeight w:val="3246"/>
        </w:trPr>
        <w:tc>
          <w:tcPr>
            <w:tcW w:w="1287" w:type="dxa"/>
            <w:shd w:val="clear" w:color="FF0000" w:fill="auto"/>
          </w:tcPr>
          <w:p w:rsidR="00DA177F" w:rsidRDefault="00DA177F" w:rsidP="00485593">
            <w:pPr>
              <w:pStyle w:val="berschrift4"/>
              <w:rPr>
                <w:rFonts w:ascii="Arial" w:hAnsi="Arial"/>
                <w:b w:val="0"/>
                <w:sz w:val="24"/>
              </w:rPr>
            </w:pPr>
          </w:p>
          <w:p w:rsidR="00DA177F" w:rsidRDefault="00DA177F" w:rsidP="00485593">
            <w:pPr>
              <w:pStyle w:val="berschrift4"/>
              <w:rPr>
                <w:rFonts w:ascii="Arial" w:hAnsi="Arial"/>
                <w:b w:val="0"/>
                <w:sz w:val="24"/>
              </w:rPr>
            </w:pPr>
          </w:p>
          <w:p w:rsidR="001A5C76" w:rsidRPr="00173E28" w:rsidRDefault="00173E28" w:rsidP="00485593">
            <w:pPr>
              <w:pStyle w:val="berschrift4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noProof/>
                <w:sz w:val="24"/>
              </w:rPr>
              <w:drawing>
                <wp:anchor distT="0" distB="0" distL="114300" distR="114300" simplePos="0" relativeHeight="251661824" behindDoc="1" locked="0" layoutInCell="1" allowOverlap="1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513715</wp:posOffset>
                  </wp:positionV>
                  <wp:extent cx="601345" cy="594878"/>
                  <wp:effectExtent l="0" t="0" r="8255" b="0"/>
                  <wp:wrapTight wrapText="bothSides">
                    <wp:wrapPolygon edited="0">
                      <wp:start x="0" y="0"/>
                      <wp:lineTo x="0" y="20769"/>
                      <wp:lineTo x="21212" y="20769"/>
                      <wp:lineTo x="21212" y="0"/>
                      <wp:lineTo x="0" y="0"/>
                    </wp:wrapPolygon>
                  </wp:wrapTight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594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345" w:type="dxa"/>
            <w:gridSpan w:val="4"/>
            <w:shd w:val="clear" w:color="FF0000" w:fill="auto"/>
          </w:tcPr>
          <w:p w:rsidR="00DA177F" w:rsidRDefault="00DA177F" w:rsidP="00FB78B3">
            <w:pPr>
              <w:numPr>
                <w:ilvl w:val="0"/>
                <w:numId w:val="3"/>
              </w:numPr>
              <w:tabs>
                <w:tab w:val="clear" w:pos="360"/>
              </w:tabs>
              <w:ind w:left="204" w:right="567" w:hanging="215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Betriebsanweisung</w:t>
            </w:r>
            <w:r w:rsidRPr="00DA177F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</w:rPr>
              <w:t>des</w:t>
            </w:r>
            <w:r w:rsidRPr="00DA177F">
              <w:rPr>
                <w:rFonts w:ascii="Arial" w:hAnsi="Arial"/>
                <w:b/>
                <w:sz w:val="20"/>
                <w:szCs w:val="20"/>
              </w:rPr>
              <w:t xml:space="preserve"> zu transportierenden Gefahrstoffe</w:t>
            </w:r>
            <w:r>
              <w:rPr>
                <w:rFonts w:ascii="Arial" w:hAnsi="Arial"/>
                <w:b/>
                <w:sz w:val="20"/>
                <w:szCs w:val="20"/>
              </w:rPr>
              <w:t>s beachten</w:t>
            </w:r>
            <w:r w:rsidRPr="00DA177F">
              <w:rPr>
                <w:rFonts w:ascii="Arial" w:hAnsi="Arial"/>
                <w:b/>
                <w:sz w:val="20"/>
                <w:szCs w:val="20"/>
              </w:rPr>
              <w:t>.</w:t>
            </w:r>
          </w:p>
          <w:p w:rsidR="001A5C76" w:rsidRPr="00096145" w:rsidRDefault="001A5C76" w:rsidP="00FB78B3">
            <w:pPr>
              <w:numPr>
                <w:ilvl w:val="0"/>
                <w:numId w:val="3"/>
              </w:numPr>
              <w:tabs>
                <w:tab w:val="clear" w:pos="360"/>
              </w:tabs>
              <w:ind w:left="204" w:right="567" w:hanging="215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Es ist verboten, Gefahrstoffe</w:t>
            </w:r>
            <w:r w:rsidRPr="00096145">
              <w:rPr>
                <w:rFonts w:ascii="Arial" w:hAnsi="Arial"/>
                <w:b/>
                <w:sz w:val="20"/>
                <w:szCs w:val="20"/>
              </w:rPr>
              <w:t xml:space="preserve"> zusammen mit Personen im Aufzug </w:t>
            </w:r>
            <w:r>
              <w:rPr>
                <w:rFonts w:ascii="Arial" w:hAnsi="Arial"/>
                <w:b/>
                <w:sz w:val="20"/>
                <w:szCs w:val="20"/>
              </w:rPr>
              <w:t>zu transportieren.</w:t>
            </w:r>
            <w:r w:rsidRPr="00096145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  <w:p w:rsidR="001A5C76" w:rsidRPr="001A5C76" w:rsidRDefault="001A5C76" w:rsidP="00FB78B3">
            <w:pPr>
              <w:numPr>
                <w:ilvl w:val="0"/>
                <w:numId w:val="3"/>
              </w:numPr>
              <w:tabs>
                <w:tab w:val="clear" w:pos="360"/>
              </w:tabs>
              <w:ind w:left="204" w:hanging="215"/>
              <w:rPr>
                <w:rFonts w:ascii="Arial" w:hAnsi="Arial" w:cs="Arial"/>
              </w:rPr>
            </w:pPr>
            <w:r w:rsidRPr="00A333C7">
              <w:rPr>
                <w:rFonts w:ascii="Arial" w:hAnsi="Arial" w:cs="Arial"/>
                <w:sz w:val="20"/>
                <w:szCs w:val="20"/>
              </w:rPr>
              <w:t xml:space="preserve">Es </w:t>
            </w:r>
            <w:r w:rsidR="003277FA">
              <w:rPr>
                <w:rFonts w:ascii="Arial" w:hAnsi="Arial" w:cs="Arial"/>
                <w:sz w:val="20"/>
                <w:szCs w:val="20"/>
              </w:rPr>
              <w:t>muss sichergestellt werden</w:t>
            </w:r>
            <w:r w:rsidRPr="00A333C7">
              <w:rPr>
                <w:rFonts w:ascii="Arial" w:hAnsi="Arial" w:cs="Arial"/>
                <w:sz w:val="20"/>
                <w:szCs w:val="20"/>
              </w:rPr>
              <w:t>, dass während des Transports keine Personen zusteigen. Dazu geeignet sind mit Sch</w:t>
            </w:r>
            <w:smartTag w:uri="urn:schemas-microsoft-com:office:smarttags" w:element="PersonName">
              <w:r w:rsidRPr="00A333C7">
                <w:rPr>
                  <w:rFonts w:ascii="Arial" w:hAnsi="Arial" w:cs="Arial"/>
                  <w:sz w:val="20"/>
                  <w:szCs w:val="20"/>
                </w:rPr>
                <w:t>l</w:t>
              </w:r>
            </w:smartTag>
            <w:r w:rsidRPr="00A333C7">
              <w:rPr>
                <w:rFonts w:ascii="Arial" w:hAnsi="Arial" w:cs="Arial"/>
                <w:sz w:val="20"/>
                <w:szCs w:val="20"/>
              </w:rPr>
              <w:t>üsse</w:t>
            </w:r>
            <w:smartTag w:uri="urn:schemas-microsoft-com:office:smarttags" w:element="PersonName">
              <w:r w:rsidRPr="00A333C7">
                <w:rPr>
                  <w:rFonts w:ascii="Arial" w:hAnsi="Arial" w:cs="Arial"/>
                  <w:sz w:val="20"/>
                  <w:szCs w:val="20"/>
                </w:rPr>
                <w:t>l</w:t>
              </w:r>
            </w:smartTag>
            <w:r w:rsidRPr="00A333C7">
              <w:rPr>
                <w:rFonts w:ascii="Arial" w:hAnsi="Arial" w:cs="Arial"/>
                <w:sz w:val="20"/>
                <w:szCs w:val="20"/>
              </w:rPr>
              <w:t xml:space="preserve">n gesicherte Aufzüge. </w:t>
            </w:r>
            <w:r>
              <w:rPr>
                <w:rFonts w:ascii="Arial" w:hAnsi="Arial" w:cs="Arial"/>
                <w:sz w:val="20"/>
                <w:szCs w:val="20"/>
              </w:rPr>
              <w:t>Alternativ</w:t>
            </w:r>
            <w:r w:rsidRPr="00A333C7">
              <w:rPr>
                <w:rFonts w:ascii="Arial" w:hAnsi="Arial" w:cs="Arial"/>
                <w:sz w:val="20"/>
                <w:szCs w:val="20"/>
              </w:rPr>
              <w:t xml:space="preserve"> sind Verbotsschi</w:t>
            </w:r>
            <w:smartTag w:uri="urn:schemas-microsoft-com:office:smarttags" w:element="PersonName">
              <w:r w:rsidRPr="00A333C7">
                <w:rPr>
                  <w:rFonts w:ascii="Arial" w:hAnsi="Arial" w:cs="Arial"/>
                  <w:sz w:val="20"/>
                  <w:szCs w:val="20"/>
                </w:rPr>
                <w:t>l</w:t>
              </w:r>
            </w:smartTag>
            <w:r w:rsidRPr="00A333C7">
              <w:rPr>
                <w:rFonts w:ascii="Arial" w:hAnsi="Arial" w:cs="Arial"/>
                <w:sz w:val="20"/>
                <w:szCs w:val="20"/>
              </w:rPr>
              <w:t>der</w:t>
            </w:r>
            <w:r>
              <w:rPr>
                <w:rFonts w:ascii="Arial" w:hAnsi="Arial" w:cs="Arial"/>
                <w:sz w:val="20"/>
                <w:szCs w:val="20"/>
              </w:rPr>
              <w:t xml:space="preserve"> im Aufzug anzubringen, die auf das Verbot zuzusteigen deutlich hinweisen.</w:t>
            </w:r>
            <w:r w:rsidRPr="00546FA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A5C76" w:rsidRPr="00A333C7" w:rsidRDefault="001A5C76" w:rsidP="00FB78B3">
            <w:pPr>
              <w:numPr>
                <w:ilvl w:val="0"/>
                <w:numId w:val="3"/>
              </w:numPr>
              <w:tabs>
                <w:tab w:val="clear" w:pos="360"/>
              </w:tabs>
              <w:ind w:left="204" w:right="567" w:hanging="215"/>
              <w:rPr>
                <w:rFonts w:ascii="Arial" w:hAnsi="Arial"/>
                <w:sz w:val="20"/>
                <w:szCs w:val="20"/>
              </w:rPr>
            </w:pPr>
            <w:r w:rsidRPr="00A333C7">
              <w:rPr>
                <w:rFonts w:ascii="Arial" w:hAnsi="Arial"/>
                <w:sz w:val="20"/>
                <w:szCs w:val="20"/>
              </w:rPr>
              <w:t>Gefahrstoffe dürfen in Aufzügen nur transportiert werden, wenn</w:t>
            </w:r>
            <w:r w:rsidR="003277FA">
              <w:rPr>
                <w:rFonts w:ascii="Arial" w:hAnsi="Arial"/>
                <w:sz w:val="20"/>
                <w:szCs w:val="20"/>
              </w:rPr>
              <w:t xml:space="preserve"> sichergestellt ist, dass</w:t>
            </w:r>
            <w:r w:rsidRPr="00A333C7">
              <w:rPr>
                <w:rFonts w:ascii="Arial" w:hAnsi="Arial"/>
                <w:sz w:val="20"/>
                <w:szCs w:val="20"/>
              </w:rPr>
              <w:t xml:space="preserve"> </w:t>
            </w:r>
            <w:r w:rsidR="003277FA">
              <w:rPr>
                <w:rFonts w:ascii="Arial" w:hAnsi="Arial"/>
                <w:sz w:val="20"/>
                <w:szCs w:val="20"/>
              </w:rPr>
              <w:t xml:space="preserve">sie </w:t>
            </w:r>
            <w:r w:rsidRPr="00A333C7">
              <w:rPr>
                <w:rFonts w:ascii="Arial" w:hAnsi="Arial"/>
                <w:sz w:val="20"/>
                <w:szCs w:val="20"/>
              </w:rPr>
              <w:t xml:space="preserve">aus ihren Verpackungen nicht </w:t>
            </w:r>
            <w:r w:rsidR="003277FA">
              <w:rPr>
                <w:rFonts w:ascii="Arial" w:hAnsi="Arial"/>
                <w:sz w:val="20"/>
                <w:szCs w:val="20"/>
              </w:rPr>
              <w:t>entweichen können</w:t>
            </w:r>
            <w:r w:rsidRPr="00A333C7">
              <w:rPr>
                <w:rFonts w:ascii="Arial" w:hAnsi="Arial"/>
                <w:sz w:val="20"/>
                <w:szCs w:val="20"/>
              </w:rPr>
              <w:t>. Sie sind in mechanisch sichere Überbehälter (Eimer, Tragekörbe, Kisten, Fässer) zu stellen.</w:t>
            </w:r>
          </w:p>
          <w:p w:rsidR="001A5C76" w:rsidRDefault="001A5C76" w:rsidP="00FB78B3">
            <w:pPr>
              <w:numPr>
                <w:ilvl w:val="0"/>
                <w:numId w:val="3"/>
              </w:numPr>
              <w:tabs>
                <w:tab w:val="clear" w:pos="360"/>
              </w:tabs>
              <w:ind w:left="204" w:right="567" w:hanging="215"/>
              <w:rPr>
                <w:rFonts w:ascii="Arial" w:hAnsi="Arial"/>
                <w:sz w:val="20"/>
                <w:szCs w:val="20"/>
              </w:rPr>
            </w:pPr>
            <w:r w:rsidRPr="00A333C7">
              <w:rPr>
                <w:rFonts w:ascii="Arial" w:hAnsi="Arial"/>
                <w:sz w:val="20"/>
                <w:szCs w:val="20"/>
              </w:rPr>
              <w:t xml:space="preserve">Druckgasflaschen dürfen nur mit dichtschließenden Ventilen, </w:t>
            </w:r>
            <w:r w:rsidR="003277FA">
              <w:rPr>
                <w:rFonts w:ascii="Arial" w:hAnsi="Arial"/>
                <w:sz w:val="20"/>
                <w:szCs w:val="20"/>
              </w:rPr>
              <w:t>Ventilschutzkappe</w:t>
            </w:r>
            <w:r w:rsidR="00DC093A">
              <w:rPr>
                <w:rFonts w:ascii="Arial" w:hAnsi="Arial"/>
                <w:sz w:val="20"/>
                <w:szCs w:val="20"/>
              </w:rPr>
              <w:t>,</w:t>
            </w:r>
            <w:r w:rsidRPr="00A333C7">
              <w:rPr>
                <w:rFonts w:ascii="Arial" w:hAnsi="Arial"/>
                <w:sz w:val="20"/>
                <w:szCs w:val="20"/>
              </w:rPr>
              <w:t xml:space="preserve"> geeigneter Transporthilfe </w:t>
            </w:r>
            <w:r w:rsidR="00DC093A">
              <w:rPr>
                <w:rFonts w:ascii="Arial" w:hAnsi="Arial"/>
                <w:sz w:val="20"/>
                <w:szCs w:val="20"/>
              </w:rPr>
              <w:t xml:space="preserve">und </w:t>
            </w:r>
            <w:r w:rsidR="00DC093A" w:rsidRPr="00A333C7">
              <w:rPr>
                <w:rFonts w:ascii="Arial" w:hAnsi="Arial"/>
                <w:sz w:val="20"/>
                <w:szCs w:val="20"/>
              </w:rPr>
              <w:t xml:space="preserve">gegen Umfallen </w:t>
            </w:r>
            <w:r w:rsidR="00DC093A">
              <w:rPr>
                <w:rFonts w:ascii="Arial" w:hAnsi="Arial"/>
                <w:sz w:val="20"/>
                <w:szCs w:val="20"/>
              </w:rPr>
              <w:t>ge</w:t>
            </w:r>
            <w:r w:rsidR="00DC093A" w:rsidRPr="00A333C7">
              <w:rPr>
                <w:rFonts w:ascii="Arial" w:hAnsi="Arial"/>
                <w:sz w:val="20"/>
                <w:szCs w:val="20"/>
              </w:rPr>
              <w:t>sicher</w:t>
            </w:r>
            <w:r w:rsidR="00DC093A">
              <w:rPr>
                <w:rFonts w:ascii="Arial" w:hAnsi="Arial"/>
                <w:sz w:val="20"/>
                <w:szCs w:val="20"/>
              </w:rPr>
              <w:t>t</w:t>
            </w:r>
            <w:r w:rsidR="00DC093A" w:rsidRPr="00A333C7">
              <w:rPr>
                <w:rFonts w:ascii="Arial" w:hAnsi="Arial"/>
                <w:sz w:val="20"/>
                <w:szCs w:val="20"/>
              </w:rPr>
              <w:t xml:space="preserve"> </w:t>
            </w:r>
            <w:r w:rsidRPr="00A333C7">
              <w:rPr>
                <w:rFonts w:ascii="Arial" w:hAnsi="Arial"/>
                <w:sz w:val="20"/>
                <w:szCs w:val="20"/>
              </w:rPr>
              <w:t>transportiert werden</w:t>
            </w:r>
            <w:r w:rsidR="00DC093A">
              <w:rPr>
                <w:rFonts w:ascii="Arial" w:hAnsi="Arial"/>
                <w:sz w:val="20"/>
                <w:szCs w:val="20"/>
              </w:rPr>
              <w:t xml:space="preserve"> und</w:t>
            </w:r>
            <w:r w:rsidRPr="00A333C7">
              <w:rPr>
                <w:rFonts w:ascii="Arial" w:hAnsi="Arial"/>
                <w:sz w:val="20"/>
                <w:szCs w:val="20"/>
              </w:rPr>
              <w:t xml:space="preserve">. </w:t>
            </w:r>
          </w:p>
          <w:p w:rsidR="001A5C76" w:rsidRPr="001A5C76" w:rsidRDefault="001A5C76" w:rsidP="00FB78B3">
            <w:pPr>
              <w:numPr>
                <w:ilvl w:val="0"/>
                <w:numId w:val="3"/>
              </w:numPr>
              <w:tabs>
                <w:tab w:val="clear" w:pos="360"/>
              </w:tabs>
              <w:ind w:left="204" w:right="567" w:hanging="215"/>
              <w:rPr>
                <w:rFonts w:ascii="Arial" w:hAnsi="Arial"/>
                <w:sz w:val="20"/>
                <w:szCs w:val="20"/>
              </w:rPr>
            </w:pPr>
            <w:r w:rsidRPr="001A5C76">
              <w:rPr>
                <w:rFonts w:ascii="Arial" w:hAnsi="Arial"/>
                <w:sz w:val="20"/>
                <w:szCs w:val="20"/>
              </w:rPr>
              <w:t xml:space="preserve">Schutzhandschuhe benutzen. </w:t>
            </w:r>
          </w:p>
          <w:p w:rsidR="003277FA" w:rsidRDefault="001A5C76" w:rsidP="00FB78B3">
            <w:pPr>
              <w:numPr>
                <w:ilvl w:val="0"/>
                <w:numId w:val="3"/>
              </w:numPr>
              <w:tabs>
                <w:tab w:val="clear" w:pos="360"/>
              </w:tabs>
              <w:ind w:left="204" w:right="567" w:hanging="215"/>
              <w:rPr>
                <w:rFonts w:ascii="Arial" w:hAnsi="Arial"/>
                <w:sz w:val="20"/>
                <w:szCs w:val="20"/>
              </w:rPr>
            </w:pPr>
            <w:r w:rsidRPr="001A5C76">
              <w:rPr>
                <w:rFonts w:ascii="Arial" w:hAnsi="Arial"/>
                <w:sz w:val="20"/>
                <w:szCs w:val="20"/>
              </w:rPr>
              <w:t xml:space="preserve">Geschlossene feste Schuhe tragen, die schnell ausgezogen werden können. </w:t>
            </w:r>
          </w:p>
          <w:p w:rsidR="001A5C76" w:rsidRPr="001A5C76" w:rsidRDefault="001A5C76" w:rsidP="003277FA">
            <w:pPr>
              <w:ind w:left="204" w:right="567"/>
              <w:rPr>
                <w:rFonts w:ascii="Arial" w:hAnsi="Arial"/>
                <w:sz w:val="20"/>
                <w:szCs w:val="20"/>
              </w:rPr>
            </w:pPr>
            <w:r w:rsidRPr="001A5C76">
              <w:rPr>
                <w:rFonts w:ascii="Arial" w:hAnsi="Arial"/>
                <w:sz w:val="20"/>
                <w:szCs w:val="20"/>
              </w:rPr>
              <w:t>Bei</w:t>
            </w:r>
            <w:r>
              <w:rPr>
                <w:rFonts w:ascii="Arial" w:hAnsi="Arial"/>
                <w:sz w:val="20"/>
                <w:szCs w:val="20"/>
              </w:rPr>
              <w:t xml:space="preserve">m Transport </w:t>
            </w:r>
            <w:r w:rsidR="003277FA">
              <w:rPr>
                <w:rFonts w:ascii="Arial" w:hAnsi="Arial"/>
                <w:sz w:val="20"/>
                <w:szCs w:val="20"/>
              </w:rPr>
              <w:t>großer</w:t>
            </w:r>
            <w:r w:rsidRPr="001A5C76">
              <w:rPr>
                <w:rFonts w:ascii="Arial" w:hAnsi="Arial"/>
                <w:sz w:val="20"/>
                <w:szCs w:val="20"/>
              </w:rPr>
              <w:t xml:space="preserve"> Dewar-</w:t>
            </w:r>
            <w:r>
              <w:rPr>
                <w:rFonts w:ascii="Arial" w:hAnsi="Arial"/>
                <w:sz w:val="20"/>
                <w:szCs w:val="20"/>
              </w:rPr>
              <w:t>/</w:t>
            </w:r>
            <w:proofErr w:type="spellStart"/>
            <w:r w:rsidRPr="001A5C76">
              <w:rPr>
                <w:rFonts w:ascii="Arial" w:hAnsi="Arial"/>
                <w:sz w:val="20"/>
                <w:szCs w:val="20"/>
              </w:rPr>
              <w:t>Kryogefäße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oder Druckgasflaschen</w:t>
            </w:r>
            <w:r w:rsidRPr="001A5C76">
              <w:rPr>
                <w:rFonts w:ascii="Arial" w:hAnsi="Arial"/>
                <w:sz w:val="20"/>
                <w:szCs w:val="20"/>
              </w:rPr>
              <w:t xml:space="preserve"> Sicherheitsschuhe tragen. </w:t>
            </w:r>
          </w:p>
        </w:tc>
      </w:tr>
      <w:tr w:rsidR="00485593">
        <w:tc>
          <w:tcPr>
            <w:tcW w:w="10632" w:type="dxa"/>
            <w:gridSpan w:val="5"/>
            <w:shd w:val="clear" w:color="FF0000" w:fill="FFCC00"/>
          </w:tcPr>
          <w:p w:rsidR="00485593" w:rsidRPr="00C30C35" w:rsidRDefault="00485593" w:rsidP="00FB645D">
            <w:pPr>
              <w:pStyle w:val="berschrift4"/>
              <w:keepNext w:val="0"/>
              <w:spacing w:before="0"/>
              <w:jc w:val="center"/>
              <w:rPr>
                <w:rFonts w:ascii="Arial" w:hAnsi="Arial"/>
                <w:sz w:val="24"/>
                <w:szCs w:val="24"/>
              </w:rPr>
            </w:pPr>
            <w:r w:rsidRPr="00C30C35">
              <w:rPr>
                <w:rFonts w:ascii="Arial" w:hAnsi="Arial"/>
                <w:sz w:val="24"/>
                <w:szCs w:val="24"/>
              </w:rPr>
              <w:t>Verhalten im Gefahrfall</w:t>
            </w:r>
          </w:p>
        </w:tc>
      </w:tr>
      <w:tr w:rsidR="00485593">
        <w:trPr>
          <w:trHeight w:val="256"/>
        </w:trPr>
        <w:tc>
          <w:tcPr>
            <w:tcW w:w="10632" w:type="dxa"/>
            <w:gridSpan w:val="5"/>
            <w:shd w:val="clear" w:color="FF0000" w:fill="auto"/>
          </w:tcPr>
          <w:p w:rsidR="00DA177F" w:rsidRPr="00727AF2" w:rsidRDefault="00485593" w:rsidP="00DA177F">
            <w:pPr>
              <w:keepLines/>
              <w:spacing w:line="240" w:lineRule="exact"/>
              <w:rPr>
                <w:rFonts w:ascii="Arial" w:hAnsi="Arial"/>
                <w:sz w:val="20"/>
                <w:szCs w:val="20"/>
              </w:rPr>
            </w:pPr>
            <w:r w:rsidRPr="00727AF2">
              <w:rPr>
                <w:rFonts w:ascii="Arial" w:hAnsi="Arial"/>
                <w:b/>
                <w:sz w:val="20"/>
                <w:szCs w:val="20"/>
              </w:rPr>
              <w:t>Austreten von Gefahrstoffen im Aufzug</w:t>
            </w:r>
            <w:r w:rsidR="00DA177F" w:rsidRPr="00727AF2">
              <w:rPr>
                <w:rFonts w:ascii="Arial" w:hAnsi="Arial"/>
                <w:b/>
                <w:sz w:val="20"/>
                <w:szCs w:val="20"/>
              </w:rPr>
              <w:t>:</w:t>
            </w:r>
            <w:r w:rsidR="00DA177F" w:rsidRPr="00727AF2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117046" w:rsidRDefault="00DC093A" w:rsidP="00A61939">
            <w:pPr>
              <w:numPr>
                <w:ilvl w:val="0"/>
                <w:numId w:val="3"/>
              </w:numPr>
              <w:tabs>
                <w:tab w:val="clear" w:pos="360"/>
              </w:tabs>
              <w:ind w:left="204" w:right="567" w:hanging="215"/>
              <w:rPr>
                <w:rFonts w:ascii="Arial" w:hAnsi="Arial"/>
                <w:sz w:val="20"/>
                <w:szCs w:val="20"/>
              </w:rPr>
            </w:pPr>
            <w:r w:rsidRPr="00DC093A">
              <w:rPr>
                <w:rFonts w:ascii="Arial" w:hAnsi="Arial"/>
                <w:sz w:val="20"/>
                <w:szCs w:val="20"/>
              </w:rPr>
              <w:t xml:space="preserve">Für </w:t>
            </w:r>
            <w:r w:rsidRPr="00DC093A">
              <w:rPr>
                <w:rFonts w:ascii="Arial" w:hAnsi="Arial"/>
                <w:sz w:val="20"/>
                <w:szCs w:val="20"/>
              </w:rPr>
              <w:t>sofortige Stillsetzung des Aufzugs sorgen.</w:t>
            </w:r>
            <w:r w:rsidRPr="00DC093A">
              <w:rPr>
                <w:rFonts w:ascii="Arial" w:hAnsi="Arial"/>
                <w:sz w:val="20"/>
                <w:szCs w:val="20"/>
              </w:rPr>
              <w:t xml:space="preserve"> </w:t>
            </w:r>
            <w:r w:rsidR="00117046">
              <w:rPr>
                <w:rFonts w:ascii="Arial" w:hAnsi="Arial"/>
                <w:sz w:val="20"/>
                <w:szCs w:val="20"/>
              </w:rPr>
              <w:t>(Gebäudepforte informieren.)</w:t>
            </w:r>
          </w:p>
          <w:p w:rsidR="00DC093A" w:rsidRDefault="00DC093A" w:rsidP="00A61939">
            <w:pPr>
              <w:numPr>
                <w:ilvl w:val="0"/>
                <w:numId w:val="3"/>
              </w:numPr>
              <w:tabs>
                <w:tab w:val="clear" w:pos="360"/>
              </w:tabs>
              <w:ind w:left="204" w:right="567" w:hanging="215"/>
              <w:rPr>
                <w:rFonts w:ascii="Arial" w:hAnsi="Arial"/>
                <w:sz w:val="20"/>
                <w:szCs w:val="20"/>
              </w:rPr>
            </w:pPr>
            <w:r w:rsidRPr="00DC093A">
              <w:rPr>
                <w:rFonts w:ascii="Arial" w:hAnsi="Arial"/>
                <w:sz w:val="20"/>
                <w:szCs w:val="20"/>
              </w:rPr>
              <w:t xml:space="preserve">Gefahrenbereich absperren. </w:t>
            </w:r>
          </w:p>
          <w:p w:rsidR="00A9077F" w:rsidRPr="00A9077F" w:rsidRDefault="00DC093A" w:rsidP="00A9077F">
            <w:pPr>
              <w:numPr>
                <w:ilvl w:val="0"/>
                <w:numId w:val="3"/>
              </w:numPr>
              <w:tabs>
                <w:tab w:val="clear" w:pos="360"/>
              </w:tabs>
              <w:ind w:left="204" w:right="567" w:hanging="215"/>
              <w:rPr>
                <w:b/>
                <w:sz w:val="18"/>
                <w:szCs w:val="18"/>
              </w:rPr>
            </w:pPr>
            <w:r w:rsidRPr="00DC093A">
              <w:rPr>
                <w:rFonts w:ascii="Arial" w:hAnsi="Arial"/>
                <w:sz w:val="20"/>
                <w:szCs w:val="20"/>
              </w:rPr>
              <w:t xml:space="preserve">Weitere </w:t>
            </w:r>
            <w:r w:rsidRPr="00DC093A">
              <w:rPr>
                <w:rFonts w:ascii="Arial" w:hAnsi="Arial"/>
                <w:sz w:val="20"/>
                <w:szCs w:val="20"/>
              </w:rPr>
              <w:t xml:space="preserve">Maßnahmen </w:t>
            </w:r>
            <w:r w:rsidRPr="00DC093A">
              <w:rPr>
                <w:rFonts w:ascii="Arial" w:hAnsi="Arial"/>
                <w:sz w:val="20"/>
                <w:szCs w:val="20"/>
              </w:rPr>
              <w:t>i</w:t>
            </w:r>
            <w:r w:rsidR="00DA177F" w:rsidRPr="00DC093A">
              <w:rPr>
                <w:rFonts w:ascii="Arial" w:hAnsi="Arial"/>
                <w:sz w:val="20"/>
                <w:szCs w:val="20"/>
              </w:rPr>
              <w:t>n Abhängigkeit vom Gefahrstoff</w:t>
            </w:r>
            <w:r w:rsidRPr="00DC093A">
              <w:rPr>
                <w:rFonts w:ascii="Arial" w:hAnsi="Arial"/>
                <w:sz w:val="20"/>
                <w:szCs w:val="20"/>
              </w:rPr>
              <w:t xml:space="preserve"> -</w:t>
            </w:r>
            <w:r w:rsidR="00485593" w:rsidRPr="00DC093A">
              <w:rPr>
                <w:rFonts w:ascii="Arial" w:hAnsi="Arial"/>
                <w:sz w:val="20"/>
                <w:szCs w:val="20"/>
              </w:rPr>
              <w:t xml:space="preserve"> </w:t>
            </w:r>
            <w:r w:rsidRPr="00DC093A">
              <w:rPr>
                <w:rFonts w:ascii="Arial" w:hAnsi="Arial"/>
                <w:sz w:val="20"/>
                <w:szCs w:val="20"/>
              </w:rPr>
              <w:t>Siehe Betriebsanweisung / Sicherheitsdatenblatt des transportier</w:t>
            </w:r>
            <w:r>
              <w:rPr>
                <w:rFonts w:ascii="Arial" w:hAnsi="Arial"/>
                <w:sz w:val="20"/>
                <w:szCs w:val="20"/>
              </w:rPr>
              <w:t>ten</w:t>
            </w:r>
            <w:r w:rsidRPr="00DC093A">
              <w:rPr>
                <w:rFonts w:ascii="Arial" w:hAnsi="Arial"/>
                <w:sz w:val="20"/>
                <w:szCs w:val="20"/>
              </w:rPr>
              <w:t xml:space="preserve"> Gefahrstoffes </w:t>
            </w:r>
            <w:r>
              <w:rPr>
                <w:rFonts w:ascii="Arial" w:hAnsi="Arial"/>
                <w:sz w:val="20"/>
                <w:szCs w:val="20"/>
              </w:rPr>
              <w:t>–</w:t>
            </w:r>
            <w:r w:rsidRPr="00DC093A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durchführen.</w:t>
            </w:r>
          </w:p>
          <w:p w:rsidR="00485593" w:rsidRPr="00727AF2" w:rsidRDefault="00117046" w:rsidP="001D566C">
            <w:pPr>
              <w:numPr>
                <w:ilvl w:val="0"/>
                <w:numId w:val="3"/>
              </w:numPr>
              <w:tabs>
                <w:tab w:val="clear" w:pos="360"/>
              </w:tabs>
              <w:ind w:left="204" w:right="567" w:hanging="215"/>
              <w:rPr>
                <w:b/>
                <w:sz w:val="18"/>
                <w:szCs w:val="18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Beim Austreten </w:t>
            </w:r>
            <w:r w:rsidR="00A9077F" w:rsidRPr="00A9077F">
              <w:rPr>
                <w:rFonts w:ascii="Arial" w:hAnsi="Arial"/>
                <w:sz w:val="20"/>
                <w:szCs w:val="20"/>
              </w:rPr>
              <w:t>giftige</w:t>
            </w:r>
            <w:r w:rsidR="001D566C">
              <w:rPr>
                <w:rFonts w:ascii="Arial" w:hAnsi="Arial"/>
                <w:sz w:val="20"/>
                <w:szCs w:val="20"/>
              </w:rPr>
              <w:t>r</w:t>
            </w:r>
            <w:r w:rsidR="00A9077F" w:rsidRPr="00A9077F">
              <w:rPr>
                <w:rFonts w:ascii="Arial" w:hAnsi="Arial"/>
                <w:sz w:val="20"/>
                <w:szCs w:val="20"/>
              </w:rPr>
              <w:t>, hochentzündliche</w:t>
            </w:r>
            <w:r w:rsidR="001D566C">
              <w:rPr>
                <w:rFonts w:ascii="Arial" w:hAnsi="Arial"/>
                <w:sz w:val="20"/>
                <w:szCs w:val="20"/>
              </w:rPr>
              <w:t>r</w:t>
            </w:r>
            <w:r w:rsidR="00A9077F" w:rsidRPr="00A9077F">
              <w:rPr>
                <w:rFonts w:ascii="Arial" w:hAnsi="Arial"/>
                <w:sz w:val="20"/>
                <w:szCs w:val="20"/>
              </w:rPr>
              <w:t>, leichtentzündliche</w:t>
            </w:r>
            <w:r w:rsidR="001D566C">
              <w:rPr>
                <w:rFonts w:ascii="Arial" w:hAnsi="Arial"/>
                <w:sz w:val="20"/>
                <w:szCs w:val="20"/>
              </w:rPr>
              <w:t>r</w:t>
            </w:r>
            <w:r w:rsidR="00A9077F" w:rsidRPr="00A9077F">
              <w:rPr>
                <w:rFonts w:ascii="Arial" w:hAnsi="Arial"/>
                <w:sz w:val="20"/>
                <w:szCs w:val="20"/>
              </w:rPr>
              <w:t xml:space="preserve"> oder ätzende</w:t>
            </w:r>
            <w:r w:rsidR="001D566C">
              <w:rPr>
                <w:rFonts w:ascii="Arial" w:hAnsi="Arial"/>
                <w:sz w:val="20"/>
                <w:szCs w:val="20"/>
              </w:rPr>
              <w:t>r</w:t>
            </w:r>
            <w:r w:rsidR="00A9077F" w:rsidRPr="00A9077F">
              <w:rPr>
                <w:rFonts w:ascii="Arial" w:hAnsi="Arial"/>
                <w:sz w:val="20"/>
                <w:szCs w:val="20"/>
              </w:rPr>
              <w:t xml:space="preserve"> Gase</w:t>
            </w:r>
            <w:bookmarkStart w:id="0" w:name="_GoBack"/>
            <w:bookmarkEnd w:id="0"/>
            <w:r w:rsidR="00DA177F" w:rsidRPr="00727AF2">
              <w:rPr>
                <w:rFonts w:ascii="Arial" w:hAnsi="Arial"/>
                <w:sz w:val="20"/>
                <w:szCs w:val="20"/>
              </w:rPr>
              <w:t xml:space="preserve"> </w:t>
            </w:r>
            <w:r w:rsidRPr="00727AF2">
              <w:rPr>
                <w:rFonts w:ascii="Arial" w:hAnsi="Arial"/>
                <w:sz w:val="20"/>
                <w:szCs w:val="20"/>
              </w:rPr>
              <w:t>Feuerwehr alarmieren</w:t>
            </w:r>
            <w:r>
              <w:rPr>
                <w:rFonts w:ascii="Arial" w:hAnsi="Arial"/>
                <w:sz w:val="20"/>
                <w:szCs w:val="20"/>
              </w:rPr>
              <w:t xml:space="preserve"> und </w:t>
            </w:r>
            <w:r w:rsidR="00DA177F" w:rsidRPr="00727AF2">
              <w:rPr>
                <w:rFonts w:ascii="Arial" w:hAnsi="Arial"/>
                <w:sz w:val="20"/>
                <w:szCs w:val="20"/>
              </w:rPr>
              <w:t>gefährdete Bereiche</w:t>
            </w:r>
            <w:r>
              <w:rPr>
                <w:rFonts w:ascii="Arial" w:hAnsi="Arial"/>
                <w:sz w:val="20"/>
                <w:szCs w:val="20"/>
              </w:rPr>
              <w:t xml:space="preserve"> warnen.</w:t>
            </w:r>
            <w:r w:rsidR="00DA177F" w:rsidRPr="00727AF2">
              <w:rPr>
                <w:rFonts w:ascii="Arial" w:hAnsi="Arial"/>
                <w:sz w:val="20"/>
                <w:szCs w:val="20"/>
              </w:rPr>
              <w:t xml:space="preserve"> </w:t>
            </w:r>
            <w:r w:rsidRPr="00727AF2">
              <w:rPr>
                <w:rFonts w:ascii="Arial" w:hAnsi="Arial"/>
                <w:sz w:val="20"/>
                <w:szCs w:val="20"/>
              </w:rPr>
              <w:t>(Druckknopfmelder)</w:t>
            </w:r>
          </w:p>
        </w:tc>
      </w:tr>
      <w:tr w:rsidR="00485593">
        <w:tc>
          <w:tcPr>
            <w:tcW w:w="7712" w:type="dxa"/>
            <w:gridSpan w:val="3"/>
            <w:shd w:val="clear" w:color="FF0000" w:fill="FFCC00"/>
          </w:tcPr>
          <w:p w:rsidR="00485593" w:rsidRPr="00C30C35" w:rsidRDefault="00FB645D" w:rsidP="00FB645D">
            <w:pPr>
              <w:pStyle w:val="berschrift4"/>
              <w:keepNext w:val="0"/>
              <w:spacing w:before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                                               </w:t>
            </w:r>
            <w:r w:rsidR="00485593" w:rsidRPr="00C30C35">
              <w:rPr>
                <w:rFonts w:ascii="Arial" w:hAnsi="Arial"/>
                <w:sz w:val="24"/>
                <w:szCs w:val="24"/>
              </w:rPr>
              <w:t>Erste Hilfe</w:t>
            </w:r>
          </w:p>
        </w:tc>
        <w:tc>
          <w:tcPr>
            <w:tcW w:w="2920" w:type="dxa"/>
            <w:gridSpan w:val="2"/>
            <w:shd w:val="clear" w:color="FF0000" w:fill="FFFF00"/>
          </w:tcPr>
          <w:p w:rsidR="00485593" w:rsidRPr="00C30C35" w:rsidRDefault="00485593" w:rsidP="00FB645D">
            <w:pPr>
              <w:pStyle w:val="berschrift4"/>
              <w:keepNext w:val="0"/>
              <w:spacing w:before="0"/>
              <w:rPr>
                <w:rFonts w:ascii="Arial" w:hAnsi="Arial"/>
                <w:b w:val="0"/>
                <w:sz w:val="24"/>
                <w:szCs w:val="24"/>
              </w:rPr>
            </w:pPr>
            <w:r w:rsidRPr="00C30C35">
              <w:rPr>
                <w:rFonts w:ascii="Arial" w:hAnsi="Arial"/>
                <w:sz w:val="24"/>
                <w:szCs w:val="24"/>
              </w:rPr>
              <w:t>NOTRUF 112</w:t>
            </w:r>
          </w:p>
        </w:tc>
      </w:tr>
      <w:tr w:rsidR="00EC77A5" w:rsidTr="00190A12">
        <w:trPr>
          <w:trHeight w:val="544"/>
        </w:trPr>
        <w:tc>
          <w:tcPr>
            <w:tcW w:w="10632" w:type="dxa"/>
            <w:gridSpan w:val="5"/>
            <w:shd w:val="clear" w:color="FF0000" w:fill="auto"/>
          </w:tcPr>
          <w:p w:rsidR="00EC77A5" w:rsidRPr="00727AF2" w:rsidRDefault="00EC77A5" w:rsidP="00727AF2">
            <w:pPr>
              <w:numPr>
                <w:ilvl w:val="0"/>
                <w:numId w:val="3"/>
              </w:numPr>
              <w:tabs>
                <w:tab w:val="clear" w:pos="360"/>
              </w:tabs>
              <w:ind w:left="204" w:right="567" w:hanging="21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Siehe Betriebsanweisung</w:t>
            </w:r>
            <w:r w:rsidRPr="0063684C">
              <w:rPr>
                <w:rFonts w:ascii="Arial" w:hAnsi="Arial"/>
                <w:sz w:val="20"/>
                <w:szCs w:val="20"/>
              </w:rPr>
              <w:t xml:space="preserve"> / Sicherheitsdatenblatt de</w:t>
            </w:r>
            <w:r>
              <w:rPr>
                <w:rFonts w:ascii="Arial" w:hAnsi="Arial"/>
                <w:sz w:val="20"/>
                <w:szCs w:val="20"/>
              </w:rPr>
              <w:t>s</w:t>
            </w:r>
            <w:r w:rsidRPr="0063684C">
              <w:rPr>
                <w:rFonts w:ascii="Arial" w:hAnsi="Arial"/>
                <w:sz w:val="20"/>
                <w:szCs w:val="20"/>
              </w:rPr>
              <w:t xml:space="preserve"> zu transportierenden Gefahrstoffe</w:t>
            </w:r>
            <w:r>
              <w:rPr>
                <w:rFonts w:ascii="Arial" w:hAnsi="Arial"/>
                <w:sz w:val="20"/>
                <w:szCs w:val="20"/>
              </w:rPr>
              <w:t>s</w:t>
            </w:r>
            <w:r w:rsidRPr="0063684C">
              <w:rPr>
                <w:rFonts w:ascii="Arial" w:hAnsi="Arial"/>
                <w:sz w:val="20"/>
                <w:szCs w:val="20"/>
              </w:rPr>
              <w:t>.</w:t>
            </w:r>
          </w:p>
          <w:p w:rsidR="00EC77A5" w:rsidRDefault="00EC77A5" w:rsidP="00222485">
            <w:pPr>
              <w:ind w:right="567"/>
            </w:pPr>
          </w:p>
        </w:tc>
      </w:tr>
      <w:tr w:rsidR="00485593">
        <w:tc>
          <w:tcPr>
            <w:tcW w:w="10632" w:type="dxa"/>
            <w:gridSpan w:val="5"/>
            <w:shd w:val="clear" w:color="FF0000" w:fill="FFCC00"/>
          </w:tcPr>
          <w:p w:rsidR="00485593" w:rsidRPr="00C30C35" w:rsidRDefault="00485593" w:rsidP="00FB645D">
            <w:pPr>
              <w:pStyle w:val="berschrift4"/>
              <w:keepNext w:val="0"/>
              <w:spacing w:before="0"/>
              <w:jc w:val="center"/>
              <w:rPr>
                <w:rFonts w:ascii="Arial" w:hAnsi="Arial"/>
                <w:sz w:val="24"/>
                <w:szCs w:val="24"/>
              </w:rPr>
            </w:pPr>
            <w:r w:rsidRPr="00C30C35">
              <w:rPr>
                <w:rFonts w:ascii="Arial" w:hAnsi="Arial"/>
                <w:sz w:val="24"/>
                <w:szCs w:val="24"/>
              </w:rPr>
              <w:t>Sachgerechte Entsorgung</w:t>
            </w:r>
          </w:p>
        </w:tc>
      </w:tr>
      <w:tr w:rsidR="00485593">
        <w:trPr>
          <w:cantSplit/>
          <w:trHeight w:val="256"/>
        </w:trPr>
        <w:tc>
          <w:tcPr>
            <w:tcW w:w="10632" w:type="dxa"/>
            <w:gridSpan w:val="5"/>
            <w:shd w:val="clear" w:color="FF0000" w:fill="auto"/>
          </w:tcPr>
          <w:p w:rsidR="00096145" w:rsidRPr="00222485" w:rsidRDefault="00485593" w:rsidP="00727AF2">
            <w:pPr>
              <w:numPr>
                <w:ilvl w:val="0"/>
                <w:numId w:val="3"/>
              </w:numPr>
              <w:tabs>
                <w:tab w:val="clear" w:pos="360"/>
              </w:tabs>
              <w:ind w:left="204" w:right="567" w:hanging="215"/>
              <w:rPr>
                <w:rFonts w:ascii="Arial" w:hAnsi="Arial"/>
                <w:sz w:val="20"/>
                <w:szCs w:val="20"/>
              </w:rPr>
            </w:pPr>
            <w:r w:rsidRPr="00727AF2">
              <w:rPr>
                <w:rFonts w:ascii="Arial" w:hAnsi="Arial"/>
                <w:sz w:val="20"/>
                <w:szCs w:val="20"/>
              </w:rPr>
              <w:t>Siehe Betriebsanweisung / Sicherheitsdatenblatt de</w:t>
            </w:r>
            <w:r w:rsidR="00020F8F" w:rsidRPr="00727AF2">
              <w:rPr>
                <w:rFonts w:ascii="Arial" w:hAnsi="Arial"/>
                <w:sz w:val="20"/>
                <w:szCs w:val="20"/>
              </w:rPr>
              <w:t>s</w:t>
            </w:r>
            <w:r w:rsidRPr="00727AF2">
              <w:rPr>
                <w:rFonts w:ascii="Arial" w:hAnsi="Arial"/>
                <w:sz w:val="20"/>
                <w:szCs w:val="20"/>
              </w:rPr>
              <w:t xml:space="preserve"> </w:t>
            </w:r>
            <w:r w:rsidR="001A5C76" w:rsidRPr="00727AF2">
              <w:rPr>
                <w:rFonts w:ascii="Arial" w:hAnsi="Arial"/>
                <w:sz w:val="20"/>
                <w:szCs w:val="20"/>
              </w:rPr>
              <w:t xml:space="preserve">zu </w:t>
            </w:r>
            <w:r w:rsidRPr="00727AF2">
              <w:rPr>
                <w:rFonts w:ascii="Arial" w:hAnsi="Arial"/>
                <w:sz w:val="20"/>
                <w:szCs w:val="20"/>
              </w:rPr>
              <w:t>transportier</w:t>
            </w:r>
            <w:r w:rsidR="001A5C76" w:rsidRPr="00727AF2">
              <w:rPr>
                <w:rFonts w:ascii="Arial" w:hAnsi="Arial"/>
                <w:sz w:val="20"/>
                <w:szCs w:val="20"/>
              </w:rPr>
              <w:t>end</w:t>
            </w:r>
            <w:r w:rsidRPr="00727AF2">
              <w:rPr>
                <w:rFonts w:ascii="Arial" w:hAnsi="Arial"/>
                <w:sz w:val="20"/>
                <w:szCs w:val="20"/>
              </w:rPr>
              <w:t>en Gefahrstoffe</w:t>
            </w:r>
            <w:r w:rsidR="00020F8F" w:rsidRPr="00727AF2">
              <w:rPr>
                <w:rFonts w:ascii="Arial" w:hAnsi="Arial"/>
                <w:sz w:val="20"/>
                <w:szCs w:val="20"/>
              </w:rPr>
              <w:t>s</w:t>
            </w:r>
            <w:r w:rsidR="00096145" w:rsidRPr="00727AF2">
              <w:rPr>
                <w:rFonts w:ascii="Arial" w:hAnsi="Arial"/>
                <w:sz w:val="20"/>
                <w:szCs w:val="20"/>
              </w:rPr>
              <w:t>.</w:t>
            </w:r>
            <w:r w:rsidRPr="00727AF2">
              <w:rPr>
                <w:rFonts w:ascii="Arial" w:hAnsi="Arial"/>
                <w:sz w:val="20"/>
                <w:szCs w:val="20"/>
              </w:rPr>
              <w:t xml:space="preserve"> </w:t>
            </w:r>
            <w:r w:rsidR="00096145" w:rsidRPr="00222485">
              <w:rPr>
                <w:rFonts w:ascii="Arial" w:hAnsi="Arial"/>
                <w:sz w:val="20"/>
                <w:szCs w:val="20"/>
              </w:rPr>
              <w:t xml:space="preserve">Abfälle in geschlossenen Behältern sammeln und nach Abfallrichtlinie über das </w:t>
            </w:r>
            <w:r w:rsidR="006227B3">
              <w:rPr>
                <w:rFonts w:ascii="Arial" w:hAnsi="Arial"/>
                <w:sz w:val="20"/>
                <w:szCs w:val="20"/>
              </w:rPr>
              <w:t xml:space="preserve">Zentrale </w:t>
            </w:r>
            <w:r w:rsidR="00096145" w:rsidRPr="00222485">
              <w:rPr>
                <w:rFonts w:ascii="Arial" w:hAnsi="Arial"/>
                <w:sz w:val="20"/>
                <w:szCs w:val="20"/>
              </w:rPr>
              <w:t xml:space="preserve">Zwischenlager </w:t>
            </w:r>
            <w:r w:rsidR="006227B3">
              <w:rPr>
                <w:rFonts w:ascii="Arial" w:hAnsi="Arial"/>
                <w:sz w:val="20"/>
                <w:szCs w:val="20"/>
              </w:rPr>
              <w:t xml:space="preserve">für chemische Sonderabfälle </w:t>
            </w:r>
            <w:r w:rsidR="00096145" w:rsidRPr="00222485">
              <w:rPr>
                <w:rFonts w:ascii="Arial" w:hAnsi="Arial"/>
                <w:sz w:val="20"/>
                <w:szCs w:val="20"/>
              </w:rPr>
              <w:t>(Tel.: 798 – 29392) entsorgen.</w:t>
            </w:r>
          </w:p>
        </w:tc>
      </w:tr>
    </w:tbl>
    <w:p w:rsidR="00013249" w:rsidRPr="00222485" w:rsidRDefault="00222485">
      <w:pPr>
        <w:rPr>
          <w:rFonts w:ascii="Arial" w:hAnsi="Arial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 w:rsidR="00FB78B3">
        <w:rPr>
          <w:rFonts w:ascii="Arial" w:hAnsi="Arial" w:cs="Arial"/>
          <w:sz w:val="20"/>
          <w:szCs w:val="20"/>
        </w:rPr>
        <w:t>Stand: 01/2024</w:t>
      </w:r>
    </w:p>
    <w:sectPr w:rsidR="00013249" w:rsidRPr="002224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031E3"/>
    <w:multiLevelType w:val="hybridMultilevel"/>
    <w:tmpl w:val="3A7AD6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2687E"/>
    <w:multiLevelType w:val="hybridMultilevel"/>
    <w:tmpl w:val="DBB69516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944BF9"/>
    <w:multiLevelType w:val="hybridMultilevel"/>
    <w:tmpl w:val="DB027586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696318"/>
    <w:multiLevelType w:val="hybridMultilevel"/>
    <w:tmpl w:val="CE60EDDA"/>
    <w:lvl w:ilvl="0" w:tplc="FB2418E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732FBA"/>
    <w:multiLevelType w:val="hybridMultilevel"/>
    <w:tmpl w:val="519651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A1"/>
    <w:rsid w:val="00013249"/>
    <w:rsid w:val="00020F8F"/>
    <w:rsid w:val="00096145"/>
    <w:rsid w:val="000963C9"/>
    <w:rsid w:val="00117046"/>
    <w:rsid w:val="00173E28"/>
    <w:rsid w:val="0019003A"/>
    <w:rsid w:val="001A5C76"/>
    <w:rsid w:val="001D566C"/>
    <w:rsid w:val="00222485"/>
    <w:rsid w:val="003277FA"/>
    <w:rsid w:val="00485593"/>
    <w:rsid w:val="004D3A7A"/>
    <w:rsid w:val="005D025C"/>
    <w:rsid w:val="006227B3"/>
    <w:rsid w:val="0063684C"/>
    <w:rsid w:val="00670409"/>
    <w:rsid w:val="00695324"/>
    <w:rsid w:val="00727AF2"/>
    <w:rsid w:val="00756EAA"/>
    <w:rsid w:val="008273A1"/>
    <w:rsid w:val="00A333C7"/>
    <w:rsid w:val="00A637A8"/>
    <w:rsid w:val="00A9077F"/>
    <w:rsid w:val="00B152FC"/>
    <w:rsid w:val="00B6500A"/>
    <w:rsid w:val="00B746D7"/>
    <w:rsid w:val="00C054FB"/>
    <w:rsid w:val="00C249B5"/>
    <w:rsid w:val="00C531A0"/>
    <w:rsid w:val="00C96124"/>
    <w:rsid w:val="00DA177F"/>
    <w:rsid w:val="00DC093A"/>
    <w:rsid w:val="00EC77A5"/>
    <w:rsid w:val="00FB645D"/>
    <w:rsid w:val="00FB78B3"/>
    <w:rsid w:val="00FF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8DC1160"/>
  <w15:chartTrackingRefBased/>
  <w15:docId w15:val="{AE1B6AF2-AFBC-4BC8-8E1B-5D842693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5593"/>
    <w:rPr>
      <w:sz w:val="24"/>
      <w:szCs w:val="24"/>
    </w:rPr>
  </w:style>
  <w:style w:type="paragraph" w:styleId="berschrift4">
    <w:name w:val="heading 4"/>
    <w:basedOn w:val="Standard"/>
    <w:next w:val="Standard"/>
    <w:qFormat/>
    <w:rsid w:val="0048559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rsid w:val="00485593"/>
    <w:pPr>
      <w:spacing w:before="120"/>
      <w:ind w:left="213" w:right="-1"/>
    </w:pPr>
    <w:rPr>
      <w:rFonts w:ascii="Arial" w:hAnsi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727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2645</Characters>
  <Application>Microsoft Office Word</Application>
  <DocSecurity>0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für Tätigkeiten mit Gefahrstoffen</vt:lpstr>
    </vt:vector>
  </TitlesOfParts>
  <Company>NN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 für Tätigkeiten mit Gefahrstoffen</dc:title>
  <dc:subject/>
  <dc:creator>u.bulle</dc:creator>
  <cp:keywords/>
  <dc:description/>
  <cp:lastModifiedBy>Richter.Sylvia</cp:lastModifiedBy>
  <cp:revision>3</cp:revision>
  <dcterms:created xsi:type="dcterms:W3CDTF">2024-01-24T14:42:00Z</dcterms:created>
  <dcterms:modified xsi:type="dcterms:W3CDTF">2024-01-24T14:47:00Z</dcterms:modified>
</cp:coreProperties>
</file>