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342A4FF" w14:textId="77777777" w:rsidR="007F79D8" w:rsidRDefault="003B01E8" w:rsidP="00DC003E">
      <w:pPr>
        <w:pStyle w:val="Standard1"/>
        <w:rPr>
          <w:rFonts w:ascii="Arial Narrow" w:hAnsi="Arial Narrow" w:cs="Arial Narrow"/>
          <w:noProof/>
          <w:sz w:val="12"/>
          <w:szCs w:val="1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F0A266" wp14:editId="1A92EDD6">
                <wp:simplePos x="0" y="0"/>
                <wp:positionH relativeFrom="page">
                  <wp:posOffset>180622</wp:posOffset>
                </wp:positionH>
                <wp:positionV relativeFrom="page">
                  <wp:posOffset>3601156</wp:posOffset>
                </wp:positionV>
                <wp:extent cx="288925" cy="0"/>
                <wp:effectExtent l="19050" t="19050" r="34925" b="3810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8E1A3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.2pt;margin-top:283.55pt;width:22.7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" strokeweight=".26mm">
                <v:stroke joinstyle="miter" endcap="square"/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1BAE8DC" wp14:editId="4A8409A7">
                <wp:simplePos x="0" y="0"/>
                <wp:positionH relativeFrom="page">
                  <wp:posOffset>5757333</wp:posOffset>
                </wp:positionH>
                <wp:positionV relativeFrom="page">
                  <wp:posOffset>3646311</wp:posOffset>
                </wp:positionV>
                <wp:extent cx="1463675" cy="160020"/>
                <wp:effectExtent l="0" t="0" r="22225" b="114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7A833" w14:textId="5110D073" w:rsidR="007F79D8" w:rsidRDefault="001936F0">
                            <w:pPr>
                              <w:pStyle w:val="GuBriefpapier"/>
                            </w:pPr>
                            <w:r>
                              <w:t>1</w:t>
                            </w:r>
                            <w:r w:rsidR="0087238C">
                              <w:t>1</w:t>
                            </w:r>
                            <w:r w:rsidR="00B8024C" w:rsidRPr="00C870AB">
                              <w:t>.</w:t>
                            </w:r>
                            <w:r w:rsidR="00741D56" w:rsidRPr="00C870AB">
                              <w:t xml:space="preserve"> </w:t>
                            </w:r>
                            <w:r w:rsidR="0087238C">
                              <w:t>April</w:t>
                            </w:r>
                            <w:r w:rsidR="00B8024C">
                              <w:t xml:space="preserve"> 20</w:t>
                            </w:r>
                            <w:r w:rsidR="002A6221">
                              <w:t>2</w:t>
                            </w:r>
                            <w:r w:rsidR="00C870AB">
                              <w:t>3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AE8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3.35pt;margin-top:287.1pt;width:115.25pt;height:12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" strokecolor="white" strokeweight=".5pt">
                <v:textbox inset=".25pt,.25pt,.25pt,.25pt">
                  <w:txbxContent>
                    <w:p w14:paraId="3517A833" w14:textId="5110D073" w:rsidR="007F79D8" w:rsidRDefault="001936F0">
                      <w:pPr>
                        <w:pStyle w:val="GuBriefpapier"/>
                      </w:pPr>
                      <w:r>
                        <w:t>1</w:t>
                      </w:r>
                      <w:r w:rsidR="0087238C">
                        <w:t>1</w:t>
                      </w:r>
                      <w:r w:rsidR="00B8024C" w:rsidRPr="00C870AB">
                        <w:t>.</w:t>
                      </w:r>
                      <w:r w:rsidR="00741D56" w:rsidRPr="00C870AB">
                        <w:t xml:space="preserve"> </w:t>
                      </w:r>
                      <w:r w:rsidR="0087238C">
                        <w:t>April</w:t>
                      </w:r>
                      <w:r w:rsidR="00B8024C">
                        <w:t xml:space="preserve"> 20</w:t>
                      </w:r>
                      <w:r w:rsidR="002A6221">
                        <w:t>2</w:t>
                      </w:r>
                      <w:r w:rsidR="00C870AB"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EC09B69" w14:textId="77777777"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14:paraId="4E16DDA4" w14:textId="77777777"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14:paraId="5E41B5E4" w14:textId="77777777"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14:paraId="19EBD973" w14:textId="77777777"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14:paraId="0801E0A8" w14:textId="77777777"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14:paraId="4B143245" w14:textId="77777777"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14:paraId="60D96578" w14:textId="77777777"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14:paraId="0F1695B9" w14:textId="77777777"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14:paraId="707A879C" w14:textId="77777777"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14:paraId="27B16EB9" w14:textId="77777777"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14:paraId="5CF17D35" w14:textId="77777777"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14:paraId="375D3777" w14:textId="77777777"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14:paraId="0E25A893" w14:textId="60FA9F4D" w:rsidR="007F79D8" w:rsidRDefault="00F37F2E" w:rsidP="003928BF">
      <w:pPr>
        <w:pStyle w:val="Adresszeile"/>
        <w:suppressAutoHyphens w:val="0"/>
        <w:ind w:right="2721"/>
        <w:rPr>
          <w:noProof/>
        </w:rPr>
      </w:pPr>
      <w:r>
        <w:rPr>
          <w:noProof/>
        </w:rPr>
        <w:t>Goethe-Universität</w:t>
      </w:r>
      <w:r w:rsidR="00326547" w:rsidRPr="00326547">
        <w:rPr>
          <w:noProof/>
        </w:rPr>
        <w:t xml:space="preserve"> | </w:t>
      </w:r>
      <w:r w:rsidR="00326547">
        <w:rPr>
          <w:noProof/>
        </w:rPr>
        <w:t xml:space="preserve">60629 </w:t>
      </w:r>
      <w:r w:rsidRPr="007C766D">
        <w:rPr>
          <w:noProof/>
        </w:rPr>
        <w:t>Frankfurt am Main</w:t>
      </w:r>
      <w:r>
        <w:rPr>
          <w:noProof/>
        </w:rPr>
        <w:br/>
      </w:r>
      <w:r w:rsidRPr="007C766D">
        <w:rPr>
          <w:noProof/>
        </w:rPr>
        <w:t>Fachbereich</w:t>
      </w:r>
      <w:r w:rsidR="00F818B5">
        <w:rPr>
          <w:noProof/>
        </w:rPr>
        <w:t xml:space="preserve"> Rechtswissenschaft</w:t>
      </w:r>
    </w:p>
    <w:p w14:paraId="55C0C8CC" w14:textId="77777777" w:rsidR="007F79D8" w:rsidRDefault="007F79D8" w:rsidP="00B8024C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rPr>
          <w:noProof/>
        </w:rPr>
      </w:pPr>
    </w:p>
    <w:p w14:paraId="215E658B" w14:textId="77777777" w:rsidR="007F79D8" w:rsidRDefault="007F79D8" w:rsidP="00B8024C">
      <w:pPr>
        <w:pStyle w:val="GuBriefpapier"/>
        <w:suppressAutoHyphens w:val="0"/>
        <w:rPr>
          <w:noProof/>
          <w:lang w:eastAsia="x-none" w:bidi="x-none"/>
        </w:rPr>
      </w:pPr>
    </w:p>
    <w:p w14:paraId="3D6A40EA" w14:textId="77777777" w:rsidR="007F79D8" w:rsidRDefault="007F79D8" w:rsidP="00B8024C">
      <w:pPr>
        <w:pStyle w:val="GuBriefpapier"/>
        <w:suppressAutoHyphens w:val="0"/>
        <w:rPr>
          <w:noProof/>
          <w:lang w:eastAsia="x-none" w:bidi="x-none"/>
        </w:rPr>
      </w:pPr>
    </w:p>
    <w:p w14:paraId="30492C6C" w14:textId="77777777" w:rsidR="007F79D8" w:rsidRDefault="007F79D8" w:rsidP="00B8024C">
      <w:pPr>
        <w:pStyle w:val="GuBriefpapier"/>
        <w:suppressAutoHyphens w:val="0"/>
        <w:rPr>
          <w:noProof/>
          <w:lang w:eastAsia="x-none" w:bidi="x-none"/>
        </w:rPr>
      </w:pPr>
    </w:p>
    <w:p w14:paraId="0239F5CB" w14:textId="77777777" w:rsidR="007F79D8" w:rsidRDefault="007F79D8" w:rsidP="00B8024C">
      <w:pPr>
        <w:pStyle w:val="GuBriefpapier"/>
        <w:suppressAutoHyphens w:val="0"/>
        <w:rPr>
          <w:noProof/>
          <w:lang w:eastAsia="x-none" w:bidi="x-none"/>
        </w:rPr>
      </w:pPr>
    </w:p>
    <w:p w14:paraId="049715F6" w14:textId="77777777" w:rsidR="007F79D8" w:rsidRDefault="007F79D8" w:rsidP="00B8024C">
      <w:pPr>
        <w:pStyle w:val="GuBriefpapier"/>
        <w:suppressAutoHyphens w:val="0"/>
        <w:rPr>
          <w:noProof/>
          <w:lang w:eastAsia="x-none" w:bidi="x-none"/>
        </w:rPr>
      </w:pPr>
    </w:p>
    <w:p w14:paraId="33322E1A" w14:textId="77777777" w:rsidR="007F79D8" w:rsidRDefault="007F79D8" w:rsidP="00B8024C">
      <w:pPr>
        <w:pStyle w:val="GuBriefpapier"/>
        <w:suppressAutoHyphens w:val="0"/>
        <w:rPr>
          <w:noProof/>
          <w:lang w:eastAsia="x-none" w:bidi="x-none"/>
        </w:rPr>
      </w:pPr>
    </w:p>
    <w:p w14:paraId="271F5A9A" w14:textId="0DBFAB27" w:rsidR="00035728" w:rsidRPr="00491A4E" w:rsidRDefault="002A6221" w:rsidP="00B8024C">
      <w:pPr>
        <w:pStyle w:val="GuBriefpapier"/>
        <w:suppressAutoHyphens w:val="0"/>
        <w:rPr>
          <w:b/>
          <w:noProof/>
        </w:rPr>
      </w:pPr>
      <w:r>
        <w:rPr>
          <w:b/>
          <w:noProof/>
        </w:rPr>
        <w:t>Schriftenverzeichnis</w:t>
      </w:r>
    </w:p>
    <w:p w14:paraId="78E39541" w14:textId="77777777" w:rsidR="00E47D13" w:rsidRDefault="00E47D13" w:rsidP="00D37BDD"/>
    <w:p w14:paraId="4DE1D5DC" w14:textId="4560EE4A" w:rsidR="00E47D13" w:rsidRDefault="00E47D13" w:rsidP="00D37BDD"/>
    <w:p w14:paraId="32A27050" w14:textId="77777777" w:rsidR="00224785" w:rsidRDefault="00224785" w:rsidP="00D37BDD"/>
    <w:p w14:paraId="01DA3D10" w14:textId="77777777" w:rsidR="002A6221" w:rsidRPr="002A6221" w:rsidRDefault="002A6221" w:rsidP="002A6221">
      <w:pPr>
        <w:spacing w:after="120"/>
        <w:rPr>
          <w:b/>
          <w:bCs/>
        </w:rPr>
      </w:pPr>
      <w:r w:rsidRPr="002A6221">
        <w:rPr>
          <w:b/>
          <w:bCs/>
        </w:rPr>
        <w:t>Monographien</w:t>
      </w:r>
    </w:p>
    <w:p w14:paraId="6E81BF6A" w14:textId="6D71D5E3" w:rsidR="00C15F66" w:rsidRPr="001936F0" w:rsidRDefault="00C15F66" w:rsidP="00C15F66">
      <w:pPr>
        <w:spacing w:after="120"/>
      </w:pPr>
      <w:bookmarkStart w:id="0" w:name="_Hlk33686761"/>
      <w:r w:rsidRPr="001936F0">
        <w:t>Das Recht der öffentlichen Gesundheit – Krankheitsprävention und Gesundheitsförderung als Aufgaben des Staates (Jus Publicum Band 318), Tübingen (Mohr Siebeck) 2023, XXVIII und 462 S. (</w:t>
      </w:r>
      <w:hyperlink r:id="rId7" w:history="1">
        <w:r w:rsidRPr="002A6932">
          <w:rPr>
            <w:rStyle w:val="Hyperlink"/>
          </w:rPr>
          <w:t>Open Access</w:t>
        </w:r>
      </w:hyperlink>
      <w:r w:rsidRPr="001936F0">
        <w:t xml:space="preserve">) </w:t>
      </w:r>
      <w:r w:rsidR="002A6932">
        <w:rPr>
          <w:i/>
          <w:iCs/>
        </w:rPr>
        <w:t>(Habilitationsschrift)</w:t>
      </w:r>
    </w:p>
    <w:p w14:paraId="72D43EC3" w14:textId="77777777" w:rsidR="00C15F66" w:rsidRPr="001936F0" w:rsidRDefault="00C15F66" w:rsidP="00C15F66">
      <w:pPr>
        <w:spacing w:after="120"/>
      </w:pPr>
      <w:r w:rsidRPr="001936F0">
        <w:t>Epidemiegesetz. Entwurf eines Gesetzes zur Neuordnung der Rechtsgrundlagen der Epidemiebekämpfung, Baden-Baden (Nomos) 2023, 20</w:t>
      </w:r>
      <w:r>
        <w:t>7</w:t>
      </w:r>
      <w:r w:rsidRPr="001936F0">
        <w:t xml:space="preserve"> S.</w:t>
      </w:r>
      <w:r>
        <w:t xml:space="preserve"> (</w:t>
      </w:r>
      <w:hyperlink r:id="rId8" w:history="1">
        <w:r w:rsidRPr="00160758">
          <w:rPr>
            <w:rStyle w:val="Hyperlink"/>
          </w:rPr>
          <w:t>Open Access</w:t>
        </w:r>
      </w:hyperlink>
      <w:r>
        <w:t>)</w:t>
      </w:r>
      <w:r w:rsidRPr="001936F0">
        <w:t xml:space="preserve"> (gemeinsam mit Johann</w:t>
      </w:r>
      <w:r>
        <w:t>es Gallon und Anna-Lena Hollo)</w:t>
      </w:r>
    </w:p>
    <w:p w14:paraId="2C653E9E" w14:textId="77777777" w:rsidR="002A6221" w:rsidRPr="002A6221" w:rsidRDefault="002A6221" w:rsidP="002A6221">
      <w:pPr>
        <w:spacing w:after="120"/>
        <w:rPr>
          <w:i/>
        </w:rPr>
      </w:pPr>
      <w:r w:rsidRPr="002A6221">
        <w:t xml:space="preserve">Die Abwehr terroristischer und extremistischer Gefahren durch Ausweisung, Baden-Baden (Nomos) 2012, 472 S. (Band 8 der Schriften zum Migrationsrecht) </w:t>
      </w:r>
      <w:r w:rsidRPr="002A6221">
        <w:rPr>
          <w:i/>
        </w:rPr>
        <w:t>(Dissertation)</w:t>
      </w:r>
    </w:p>
    <w:bookmarkEnd w:id="0"/>
    <w:p w14:paraId="432008E5" w14:textId="120E8755" w:rsidR="002A6221" w:rsidRPr="002A6221" w:rsidRDefault="002A6221" w:rsidP="001D3116">
      <w:pPr>
        <w:spacing w:after="120"/>
        <w:ind w:left="567"/>
        <w:rPr>
          <w:sz w:val="18"/>
          <w:szCs w:val="18"/>
        </w:rPr>
      </w:pPr>
      <w:r w:rsidRPr="002A6221">
        <w:rPr>
          <w:sz w:val="18"/>
          <w:szCs w:val="18"/>
        </w:rPr>
        <w:t xml:space="preserve">Besprechungen: </w:t>
      </w:r>
      <w:r w:rsidRPr="002A6221">
        <w:rPr>
          <w:i/>
          <w:sz w:val="18"/>
          <w:szCs w:val="18"/>
        </w:rPr>
        <w:t>Möllers</w:t>
      </w:r>
      <w:r w:rsidRPr="002A6221">
        <w:rPr>
          <w:sz w:val="18"/>
          <w:szCs w:val="18"/>
        </w:rPr>
        <w:t>, in: Jahrbuch Extremismus &amp; Demokratie, Bd. 25 (2013), 378</w:t>
      </w:r>
      <w:r w:rsidR="00386403" w:rsidRPr="00386403">
        <w:rPr>
          <w:sz w:val="18"/>
          <w:szCs w:val="18"/>
        </w:rPr>
        <w:t>–</w:t>
      </w:r>
      <w:r w:rsidRPr="002A6221">
        <w:rPr>
          <w:sz w:val="18"/>
          <w:szCs w:val="18"/>
        </w:rPr>
        <w:t xml:space="preserve">379; </w:t>
      </w:r>
      <w:r w:rsidRPr="002A6221">
        <w:rPr>
          <w:i/>
          <w:sz w:val="18"/>
          <w:szCs w:val="18"/>
        </w:rPr>
        <w:t>Beichel-Benedetti</w:t>
      </w:r>
      <w:r w:rsidRPr="002A6221">
        <w:rPr>
          <w:sz w:val="18"/>
          <w:szCs w:val="18"/>
        </w:rPr>
        <w:t>, in: ZAR 2014, 93</w:t>
      </w:r>
      <w:r w:rsidR="00386403" w:rsidRPr="00386403">
        <w:rPr>
          <w:sz w:val="18"/>
          <w:szCs w:val="18"/>
        </w:rPr>
        <w:t>–</w:t>
      </w:r>
      <w:r w:rsidRPr="002A6221">
        <w:rPr>
          <w:sz w:val="18"/>
          <w:szCs w:val="18"/>
        </w:rPr>
        <w:t>95.</w:t>
      </w:r>
    </w:p>
    <w:p w14:paraId="45D51B89" w14:textId="49620ABC" w:rsidR="00C870AB" w:rsidRDefault="00C870AB" w:rsidP="002A6221">
      <w:pPr>
        <w:spacing w:after="120"/>
        <w:rPr>
          <w:i/>
        </w:rPr>
      </w:pPr>
    </w:p>
    <w:p w14:paraId="5142AF07" w14:textId="77777777" w:rsidR="00224785" w:rsidRPr="00C870AB" w:rsidRDefault="00224785" w:rsidP="002A6221">
      <w:pPr>
        <w:spacing w:after="120"/>
        <w:rPr>
          <w:i/>
        </w:rPr>
      </w:pPr>
    </w:p>
    <w:p w14:paraId="7492F676" w14:textId="77777777" w:rsidR="002A6221" w:rsidRPr="002A6221" w:rsidRDefault="002A6221" w:rsidP="002A6221">
      <w:pPr>
        <w:spacing w:after="120"/>
        <w:rPr>
          <w:b/>
          <w:bCs/>
        </w:rPr>
      </w:pPr>
      <w:r w:rsidRPr="002A6221">
        <w:rPr>
          <w:b/>
          <w:bCs/>
        </w:rPr>
        <w:t>Herausgeberschaften</w:t>
      </w:r>
    </w:p>
    <w:p w14:paraId="5A9DD4CE" w14:textId="77777777" w:rsidR="00224785" w:rsidRPr="00224785" w:rsidRDefault="00224785" w:rsidP="00224785">
      <w:pPr>
        <w:tabs>
          <w:tab w:val="left" w:pos="2268"/>
          <w:tab w:val="left" w:pos="2340"/>
          <w:tab w:val="left" w:pos="4320"/>
          <w:tab w:val="left" w:pos="4860"/>
        </w:tabs>
        <w:spacing w:before="240" w:after="120"/>
        <w:ind w:left="2904" w:hanging="2620"/>
        <w:rPr>
          <w:b/>
          <w:bCs/>
        </w:rPr>
      </w:pPr>
      <w:r w:rsidRPr="00224785">
        <w:rPr>
          <w:b/>
        </w:rPr>
        <w:t>Zeitschriften und Schriftenreihen</w:t>
      </w:r>
    </w:p>
    <w:p w14:paraId="73F9C2BE" w14:textId="77777777" w:rsidR="00224785" w:rsidRPr="00224785" w:rsidRDefault="00224785" w:rsidP="00224785">
      <w:pPr>
        <w:tabs>
          <w:tab w:val="left" w:pos="4860"/>
        </w:tabs>
        <w:spacing w:after="120"/>
        <w:ind w:left="709"/>
      </w:pPr>
      <w:r w:rsidRPr="00224785">
        <w:t>Mitherausgeberin der Zeitschriften NVwZ und JURA</w:t>
      </w:r>
    </w:p>
    <w:p w14:paraId="4FB0E00B" w14:textId="77777777" w:rsidR="00224785" w:rsidRPr="00224785" w:rsidRDefault="00224785" w:rsidP="00224785">
      <w:pPr>
        <w:tabs>
          <w:tab w:val="left" w:pos="4860"/>
        </w:tabs>
        <w:spacing w:after="120"/>
        <w:ind w:left="709"/>
      </w:pPr>
      <w:r w:rsidRPr="00224785">
        <w:t>Mitherausgeberin der Schriften zum Polizei- und Sicherheitsrecht (Nomos)</w:t>
      </w:r>
    </w:p>
    <w:p w14:paraId="4F8FEAED" w14:textId="77777777" w:rsidR="00224785" w:rsidRPr="00224785" w:rsidRDefault="00224785" w:rsidP="00224785">
      <w:pPr>
        <w:tabs>
          <w:tab w:val="left" w:pos="4860"/>
        </w:tabs>
        <w:spacing w:after="120"/>
        <w:ind w:left="709"/>
      </w:pPr>
      <w:r w:rsidRPr="00224785">
        <w:t>Mitherausgeberin der Schriften zum Sozialrecht (Nomos)</w:t>
      </w:r>
    </w:p>
    <w:p w14:paraId="2012713A" w14:textId="77777777" w:rsidR="00224785" w:rsidRDefault="00224785">
      <w:pPr>
        <w:spacing w:line="240" w:lineRule="auto"/>
        <w:rPr>
          <w:b/>
        </w:rPr>
      </w:pPr>
      <w:r>
        <w:rPr>
          <w:b/>
        </w:rPr>
        <w:br w:type="page"/>
      </w:r>
    </w:p>
    <w:p w14:paraId="3330A840" w14:textId="74CE0E95" w:rsidR="00224785" w:rsidRPr="00224785" w:rsidRDefault="00224785" w:rsidP="00224785">
      <w:pPr>
        <w:spacing w:after="120"/>
        <w:ind w:left="284"/>
        <w:rPr>
          <w:b/>
        </w:rPr>
      </w:pPr>
      <w:r w:rsidRPr="00224785">
        <w:rPr>
          <w:b/>
        </w:rPr>
        <w:lastRenderedPageBreak/>
        <w:t>Schriften</w:t>
      </w:r>
    </w:p>
    <w:p w14:paraId="05E57D3D" w14:textId="288FE428" w:rsidR="00C15F66" w:rsidRPr="002A6221" w:rsidRDefault="00C15F66" w:rsidP="00224785">
      <w:pPr>
        <w:spacing w:after="120"/>
        <w:ind w:left="284"/>
      </w:pPr>
      <w:r w:rsidRPr="002A6221">
        <w:t>Infektionsschutzgesetz, Kommentar, München (C.H. Beck)</w:t>
      </w:r>
    </w:p>
    <w:p w14:paraId="50023B51" w14:textId="77777777" w:rsidR="00C15F66" w:rsidRPr="002A6221" w:rsidRDefault="00C15F66" w:rsidP="00224785">
      <w:pPr>
        <w:spacing w:after="60"/>
        <w:ind w:left="720"/>
      </w:pPr>
      <w:r w:rsidRPr="002A6221">
        <w:t>1. Auflage 2020, XXV, 564 S.</w:t>
      </w:r>
    </w:p>
    <w:p w14:paraId="00AA6813" w14:textId="68F7945F" w:rsidR="00C15F66" w:rsidRPr="002A6221" w:rsidRDefault="00C15F66" w:rsidP="00C15F66">
      <w:pPr>
        <w:spacing w:after="120"/>
        <w:ind w:left="720"/>
        <w:rPr>
          <w:sz w:val="18"/>
          <w:szCs w:val="18"/>
        </w:rPr>
      </w:pPr>
      <w:r w:rsidRPr="002A6221">
        <w:rPr>
          <w:sz w:val="18"/>
          <w:szCs w:val="18"/>
        </w:rPr>
        <w:t xml:space="preserve">Besprechungen: juralit.de v. 20.9.2020; </w:t>
      </w:r>
      <w:r w:rsidRPr="002A6221">
        <w:rPr>
          <w:i/>
          <w:sz w:val="18"/>
          <w:szCs w:val="18"/>
        </w:rPr>
        <w:t>Knieps</w:t>
      </w:r>
      <w:r w:rsidRPr="002A6221">
        <w:rPr>
          <w:sz w:val="18"/>
          <w:szCs w:val="18"/>
        </w:rPr>
        <w:t xml:space="preserve">, G+S 2020, 103; </w:t>
      </w:r>
      <w:r w:rsidRPr="002A6221">
        <w:rPr>
          <w:i/>
          <w:sz w:val="18"/>
          <w:szCs w:val="18"/>
        </w:rPr>
        <w:t>Zuck</w:t>
      </w:r>
      <w:r w:rsidRPr="002A6221">
        <w:rPr>
          <w:sz w:val="18"/>
          <w:szCs w:val="18"/>
        </w:rPr>
        <w:t xml:space="preserve">, NJW 2020, 3706; </w:t>
      </w:r>
      <w:r w:rsidRPr="002A6221">
        <w:rPr>
          <w:i/>
          <w:sz w:val="18"/>
          <w:szCs w:val="18"/>
        </w:rPr>
        <w:t>Giesberts</w:t>
      </w:r>
      <w:r w:rsidRPr="002A6221">
        <w:rPr>
          <w:sz w:val="18"/>
          <w:szCs w:val="18"/>
        </w:rPr>
        <w:t xml:space="preserve">, NVwZ 2021, 48; </w:t>
      </w:r>
      <w:r w:rsidRPr="002A6221">
        <w:rPr>
          <w:i/>
          <w:iCs/>
          <w:sz w:val="18"/>
          <w:szCs w:val="18"/>
        </w:rPr>
        <w:t>Arzt</w:t>
      </w:r>
      <w:r w:rsidRPr="002A6221">
        <w:rPr>
          <w:sz w:val="18"/>
          <w:szCs w:val="18"/>
        </w:rPr>
        <w:t>, DÖV 2021, 262</w:t>
      </w:r>
      <w:r w:rsidR="00386403" w:rsidRPr="00386403">
        <w:rPr>
          <w:sz w:val="18"/>
          <w:szCs w:val="18"/>
        </w:rPr>
        <w:t>–</w:t>
      </w:r>
      <w:r w:rsidRPr="002A6221">
        <w:rPr>
          <w:sz w:val="18"/>
          <w:szCs w:val="18"/>
        </w:rPr>
        <w:t xml:space="preserve">265; </w:t>
      </w:r>
      <w:r w:rsidRPr="002A6221">
        <w:rPr>
          <w:i/>
          <w:iCs/>
          <w:sz w:val="18"/>
          <w:szCs w:val="18"/>
        </w:rPr>
        <w:t>Droege</w:t>
      </w:r>
      <w:r w:rsidRPr="002A6221">
        <w:rPr>
          <w:sz w:val="18"/>
          <w:szCs w:val="18"/>
        </w:rPr>
        <w:t>, Fachbuchjournal 1/2021, S. 30.</w:t>
      </w:r>
    </w:p>
    <w:p w14:paraId="2467459F" w14:textId="77777777" w:rsidR="00C15F66" w:rsidRPr="002A6221" w:rsidRDefault="00C15F66" w:rsidP="00224785">
      <w:pPr>
        <w:spacing w:after="60"/>
        <w:ind w:left="720"/>
      </w:pPr>
      <w:r w:rsidRPr="002A6221">
        <w:t>2. Auflage 2021, XXIII, 748 S.</w:t>
      </w:r>
    </w:p>
    <w:p w14:paraId="28E69864" w14:textId="77777777" w:rsidR="00C15F66" w:rsidRPr="002A6221" w:rsidRDefault="00C15F66" w:rsidP="00C15F66">
      <w:pPr>
        <w:spacing w:after="120"/>
        <w:ind w:left="720"/>
        <w:rPr>
          <w:sz w:val="18"/>
          <w:szCs w:val="18"/>
        </w:rPr>
      </w:pPr>
      <w:r w:rsidRPr="002A6221">
        <w:rPr>
          <w:sz w:val="18"/>
          <w:szCs w:val="18"/>
        </w:rPr>
        <w:t xml:space="preserve">Besprechungen: </w:t>
      </w:r>
      <w:r w:rsidRPr="002A6221">
        <w:rPr>
          <w:i/>
          <w:iCs/>
          <w:sz w:val="18"/>
          <w:szCs w:val="18"/>
        </w:rPr>
        <w:t>Greve</w:t>
      </w:r>
      <w:r w:rsidRPr="002A6221">
        <w:rPr>
          <w:sz w:val="18"/>
          <w:szCs w:val="18"/>
        </w:rPr>
        <w:t xml:space="preserve">, NVwZ 2021, 1281; </w:t>
      </w:r>
      <w:r w:rsidRPr="002A6221">
        <w:rPr>
          <w:i/>
          <w:iCs/>
          <w:sz w:val="18"/>
          <w:szCs w:val="18"/>
        </w:rPr>
        <w:t>Enzensperger</w:t>
      </w:r>
      <w:r w:rsidRPr="002A6221">
        <w:rPr>
          <w:sz w:val="18"/>
          <w:szCs w:val="18"/>
        </w:rPr>
        <w:t>, Verwaltungsrundschau 2021, 389.</w:t>
      </w:r>
    </w:p>
    <w:p w14:paraId="3170F913" w14:textId="77777777" w:rsidR="00C15F66" w:rsidRDefault="00C15F66" w:rsidP="00224785">
      <w:pPr>
        <w:spacing w:after="60"/>
        <w:ind w:left="720"/>
        <w:rPr>
          <w:iCs/>
        </w:rPr>
      </w:pPr>
      <w:r w:rsidRPr="001936F0">
        <w:t xml:space="preserve">3. Auflage 2022, </w:t>
      </w:r>
      <w:r w:rsidRPr="001936F0">
        <w:rPr>
          <w:iCs/>
        </w:rPr>
        <w:t>XXV, 907 S.</w:t>
      </w:r>
    </w:p>
    <w:p w14:paraId="3D5ADF28" w14:textId="77777777" w:rsidR="00C15F66" w:rsidRDefault="00C15F66" w:rsidP="00C15F66">
      <w:pPr>
        <w:spacing w:after="120"/>
        <w:ind w:left="720"/>
        <w:rPr>
          <w:iCs/>
          <w:sz w:val="18"/>
          <w:szCs w:val="18"/>
        </w:rPr>
      </w:pPr>
      <w:r w:rsidRPr="000E57E6">
        <w:rPr>
          <w:iCs/>
          <w:sz w:val="18"/>
          <w:szCs w:val="18"/>
        </w:rPr>
        <w:t xml:space="preserve">Besprechungen: </w:t>
      </w:r>
      <w:r w:rsidRPr="000E57E6">
        <w:rPr>
          <w:i/>
          <w:iCs/>
          <w:sz w:val="18"/>
          <w:szCs w:val="18"/>
        </w:rPr>
        <w:t>Greve</w:t>
      </w:r>
      <w:r w:rsidRPr="000E57E6">
        <w:rPr>
          <w:iCs/>
          <w:sz w:val="18"/>
          <w:szCs w:val="18"/>
        </w:rPr>
        <w:t xml:space="preserve">, NVwZ 2022, 1528; </w:t>
      </w:r>
      <w:r w:rsidRPr="000E57E6">
        <w:rPr>
          <w:i/>
          <w:iCs/>
          <w:sz w:val="18"/>
          <w:szCs w:val="18"/>
        </w:rPr>
        <w:t>Rath</w:t>
      </w:r>
      <w:r w:rsidRPr="000E57E6">
        <w:rPr>
          <w:iCs/>
          <w:sz w:val="18"/>
          <w:szCs w:val="18"/>
        </w:rPr>
        <w:t xml:space="preserve">, justament online v. 10.10.2022, </w:t>
      </w:r>
      <w:hyperlink r:id="rId9" w:history="1">
        <w:r w:rsidRPr="00392AE6">
          <w:rPr>
            <w:rStyle w:val="Hyperlink"/>
            <w:iCs/>
            <w:sz w:val="18"/>
            <w:szCs w:val="18"/>
          </w:rPr>
          <w:t>https://justament.de/archives/12859</w:t>
        </w:r>
      </w:hyperlink>
      <w:r w:rsidRPr="000E57E6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</w:p>
    <w:p w14:paraId="1CC35800" w14:textId="77777777" w:rsidR="00224785" w:rsidRPr="00224785" w:rsidRDefault="00C15F66" w:rsidP="00224785">
      <w:pPr>
        <w:spacing w:after="120"/>
        <w:ind w:left="284"/>
      </w:pPr>
      <w:r w:rsidRPr="002A6221">
        <w:t xml:space="preserve">Sprache und Integration. Ein interdisziplinärer Beitrag zum aktuellen Integrationsdiskurs, Baden-Baden (Nomos) 2011, 174 S. (zusammen mit Eva Dick und </w:t>
      </w:r>
      <w:r w:rsidRPr="00224785">
        <w:t>Alessandra Frazzetto)*</w:t>
      </w:r>
    </w:p>
    <w:p w14:paraId="31004133" w14:textId="08EA5F14" w:rsidR="00224785" w:rsidRDefault="00224785" w:rsidP="00224785">
      <w:pPr>
        <w:spacing w:after="120"/>
        <w:rPr>
          <w:b/>
        </w:rPr>
      </w:pPr>
    </w:p>
    <w:p w14:paraId="224E4734" w14:textId="77777777" w:rsidR="00224785" w:rsidRDefault="00224785" w:rsidP="00224785">
      <w:pPr>
        <w:spacing w:after="120"/>
        <w:rPr>
          <w:b/>
        </w:rPr>
      </w:pPr>
    </w:p>
    <w:p w14:paraId="7AC98764" w14:textId="50ED0C5E" w:rsidR="002A6221" w:rsidRPr="002A6221" w:rsidRDefault="002A6221" w:rsidP="00224785">
      <w:pPr>
        <w:spacing w:after="120"/>
        <w:rPr>
          <w:b/>
        </w:rPr>
      </w:pPr>
      <w:r w:rsidRPr="002A6221">
        <w:rPr>
          <w:b/>
        </w:rPr>
        <w:t>Kommentierungen</w:t>
      </w:r>
    </w:p>
    <w:p w14:paraId="77059624" w14:textId="4ED00F47" w:rsidR="00C15F66" w:rsidRDefault="00C15F66" w:rsidP="00C15F66">
      <w:pPr>
        <w:spacing w:after="120"/>
      </w:pPr>
      <w:r w:rsidRPr="00C0374F">
        <w:t>Einführung, §§ 1</w:t>
      </w:r>
      <w:r w:rsidR="00386403">
        <w:t>–</w:t>
      </w:r>
      <w:r w:rsidRPr="00C0374F">
        <w:t>3 (Allgemeine Vorschriften), §§ 24</w:t>
      </w:r>
      <w:r w:rsidR="00386403">
        <w:t>–</w:t>
      </w:r>
      <w:r w:rsidRPr="00C0374F">
        <w:t xml:space="preserve">32 (Bekämpfung übertragbarer Krankheiten), in: Andrea Kießling (Hrsg.), IfSG, München (C. H. Beck) 2020; </w:t>
      </w:r>
      <w:r w:rsidRPr="00C0374F">
        <w:br/>
      </w:r>
      <w:r w:rsidRPr="001936F0">
        <w:t>2. Auflage 2021 (Einführung, §§ 1-3, §§ 25</w:t>
      </w:r>
      <w:r w:rsidR="00386403">
        <w:t>–</w:t>
      </w:r>
      <w:r w:rsidRPr="001936F0">
        <w:t>32 inkl. §§ 28a</w:t>
      </w:r>
      <w:r w:rsidR="00386403">
        <w:t>–</w:t>
      </w:r>
      <w:r w:rsidRPr="001936F0">
        <w:t>28c);</w:t>
      </w:r>
      <w:r w:rsidRPr="001936F0">
        <w:rPr>
          <w:iCs/>
        </w:rPr>
        <w:t xml:space="preserve"> 3. Auflage 2022 </w:t>
      </w:r>
      <w:bookmarkStart w:id="1" w:name="_GoBack"/>
      <w:bookmarkEnd w:id="1"/>
      <w:r w:rsidRPr="001936F0">
        <w:t>(Einführung, §§ 1</w:t>
      </w:r>
      <w:r w:rsidR="00386403">
        <w:t>–</w:t>
      </w:r>
      <w:r w:rsidRPr="001936F0">
        <w:t>3, §§ 25</w:t>
      </w:r>
      <w:r w:rsidR="00386403">
        <w:t>–</w:t>
      </w:r>
      <w:r w:rsidRPr="001936F0">
        <w:t>32 inkl. §§ 28a</w:t>
      </w:r>
      <w:r w:rsidR="00386403">
        <w:t>–</w:t>
      </w:r>
      <w:r w:rsidRPr="001936F0">
        <w:t>28c; §§ 20a, 20c gemeinsam mit Lamia Amhaouach)</w:t>
      </w:r>
    </w:p>
    <w:p w14:paraId="03DB9ED2" w14:textId="106567D7" w:rsidR="00C15F66" w:rsidRPr="00C0374F" w:rsidRDefault="00C15F66" w:rsidP="00C15F66">
      <w:pPr>
        <w:spacing w:after="120"/>
      </w:pPr>
      <w:r w:rsidRPr="002A6221">
        <w:t>§§ 25, 25a, 26 SGB V (Gesundheitsuntersuchungen für Erwachsene und Kinder; organisierte Früherkennungsp</w:t>
      </w:r>
      <w:r w:rsidR="0087238C">
        <w:t xml:space="preserve">rogramme), </w:t>
      </w:r>
      <w:r w:rsidR="0087238C">
        <w:br/>
        <w:t>in: Ulrich Orlowski</w:t>
      </w:r>
      <w:r w:rsidRPr="002A6221">
        <w:t xml:space="preserve">/Jens Remmert (Hrsg.), GKV-Kommentar zum SGB V, Losebl., </w:t>
      </w:r>
      <w:r w:rsidRPr="00C0374F">
        <w:t>Heidelberg (C. F. Müller), 65 Seiten, seit 2019</w:t>
      </w:r>
    </w:p>
    <w:p w14:paraId="33D71B56" w14:textId="7EFEA8E9" w:rsidR="00C15F66" w:rsidRPr="002A6221" w:rsidRDefault="00C15F66" w:rsidP="00C15F66">
      <w:pPr>
        <w:spacing w:after="120"/>
      </w:pPr>
      <w:r w:rsidRPr="002A6221">
        <w:t>§§ 20</w:t>
      </w:r>
      <w:r w:rsidR="0087238C">
        <w:t>–</w:t>
      </w:r>
      <w:r w:rsidRPr="002A6221">
        <w:t xml:space="preserve">24b SGB V (Prävention, Vorsorge, Empfängnisverhütung, Schwangerschaftsabbruch), </w:t>
      </w:r>
      <w:r w:rsidRPr="002A6221">
        <w:br/>
        <w:t xml:space="preserve">in: Josef Berchtold/Stefan Huster/Martin Rehborn (Hrsg.), Gesundheitsrecht, </w:t>
      </w:r>
      <w:r>
        <w:br/>
      </w:r>
      <w:r w:rsidRPr="002A6221">
        <w:t>2. Aufl., Baden-Baden (Nomos) 2017 (zusammen mit Stefan Huster)</w:t>
      </w:r>
    </w:p>
    <w:p w14:paraId="205C0788" w14:textId="68CFD65F" w:rsidR="002A6221" w:rsidRPr="002A6221" w:rsidRDefault="002A6221" w:rsidP="002A6221">
      <w:pPr>
        <w:spacing w:after="120"/>
      </w:pPr>
      <w:r w:rsidRPr="002A6221">
        <w:t>§§ 24c</w:t>
      </w:r>
      <w:r w:rsidR="0087238C">
        <w:t>–</w:t>
      </w:r>
      <w:r w:rsidRPr="002A6221">
        <w:t xml:space="preserve">i SGB V (Leistungen bei Schwangerschaft und Mutterschaft), </w:t>
      </w:r>
      <w:r w:rsidRPr="002A6221">
        <w:br/>
        <w:t>in: Christian Rolfs</w:t>
      </w:r>
      <w:r w:rsidR="0087238C">
        <w:t>/</w:t>
      </w:r>
      <w:r w:rsidRPr="002A6221">
        <w:t>Richard Giesen/Ralf Kreikebohm/Peter Udsching (Hrsg.), Beck'scher Online-Kommentar zum SGB V, München (C.H. Beck), seit 2013</w:t>
      </w:r>
    </w:p>
    <w:p w14:paraId="4805DF63" w14:textId="72F635C6" w:rsidR="00C15F66" w:rsidRDefault="00C15F66" w:rsidP="00325DC0">
      <w:pPr>
        <w:spacing w:after="120"/>
      </w:pPr>
    </w:p>
    <w:p w14:paraId="6A79F479" w14:textId="77777777" w:rsidR="00224785" w:rsidRPr="002A6221" w:rsidRDefault="00224785" w:rsidP="00325DC0">
      <w:pPr>
        <w:spacing w:after="120"/>
      </w:pPr>
    </w:p>
    <w:p w14:paraId="1B42F154" w14:textId="3DD68947" w:rsidR="002A6221" w:rsidRPr="002A6221" w:rsidRDefault="002A6221" w:rsidP="002A6221">
      <w:pPr>
        <w:spacing w:after="120"/>
        <w:rPr>
          <w:b/>
        </w:rPr>
      </w:pPr>
      <w:r w:rsidRPr="002A6221">
        <w:rPr>
          <w:b/>
        </w:rPr>
        <w:t>Enzyklopädie</w:t>
      </w:r>
      <w:r w:rsidR="00C870AB">
        <w:rPr>
          <w:b/>
        </w:rPr>
        <w:t>- und Handbuch</w:t>
      </w:r>
      <w:r w:rsidRPr="002A6221">
        <w:rPr>
          <w:b/>
        </w:rPr>
        <w:t>beiträge</w:t>
      </w:r>
    </w:p>
    <w:p w14:paraId="0284C2F4" w14:textId="28E8B02A" w:rsidR="00C15F66" w:rsidRPr="001D3116" w:rsidRDefault="00C15F66" w:rsidP="00C15F66">
      <w:pPr>
        <w:spacing w:after="120"/>
        <w:rPr>
          <w:bCs/>
          <w:i/>
        </w:rPr>
      </w:pPr>
      <w:r w:rsidRPr="001936F0">
        <w:rPr>
          <w:bCs/>
        </w:rPr>
        <w:t>Öffentliches und privates Pandemie- und Pandemi</w:t>
      </w:r>
      <w:r w:rsidR="0087238C">
        <w:rPr>
          <w:bCs/>
        </w:rPr>
        <w:t>efolgenrecht,</w:t>
      </w:r>
      <w:r w:rsidR="0087238C">
        <w:rPr>
          <w:bCs/>
        </w:rPr>
        <w:br/>
        <w:t>in: Wolfgang Kahl</w:t>
      </w:r>
      <w:r w:rsidRPr="001936F0">
        <w:rPr>
          <w:bCs/>
        </w:rPr>
        <w:t xml:space="preserve">/Markus Ludwigs (Hrsg.), Handbuch des Verwaltungsrechts, Band VI: Verwaltungsrecht und Privatrecht, Manuskript eingereicht, ca. 150.000 Zeichen </w:t>
      </w:r>
      <w:r w:rsidRPr="001936F0">
        <w:rPr>
          <w:bCs/>
        </w:rPr>
        <w:br/>
      </w:r>
      <w:r w:rsidRPr="001D3116">
        <w:rPr>
          <w:bCs/>
          <w:i/>
        </w:rPr>
        <w:t>erscheint voraussichtlich 2023 im Verlag C. F. Müller</w:t>
      </w:r>
    </w:p>
    <w:p w14:paraId="42CC5C6D" w14:textId="77777777" w:rsidR="00224785" w:rsidRDefault="00224785">
      <w:pPr>
        <w:spacing w:line="240" w:lineRule="auto"/>
      </w:pPr>
      <w:r>
        <w:br w:type="page"/>
      </w:r>
    </w:p>
    <w:p w14:paraId="3A6116A7" w14:textId="5C7DC155" w:rsidR="00C15F66" w:rsidRPr="002A6221" w:rsidRDefault="00C15F66" w:rsidP="00C15F66">
      <w:pPr>
        <w:spacing w:after="120"/>
      </w:pPr>
      <w:r w:rsidRPr="002A6221">
        <w:lastRenderedPageBreak/>
        <w:t>Gesundheitsrecht, in: Lisken/Denninger, Handbuch des Polizeirechts (herausgegeben von Matthias Bäcker/Erhard Denninger/Kurt Graulich), 7. Aufl. 2021, S. 1347</w:t>
      </w:r>
      <w:r w:rsidR="00386403">
        <w:t>–</w:t>
      </w:r>
      <w:r w:rsidRPr="002A6221">
        <w:t>1366</w:t>
      </w:r>
    </w:p>
    <w:p w14:paraId="39AEE806" w14:textId="77777777" w:rsidR="00C15F66" w:rsidRPr="001D3116" w:rsidRDefault="00C15F66" w:rsidP="00C15F66">
      <w:pPr>
        <w:tabs>
          <w:tab w:val="left" w:pos="567"/>
        </w:tabs>
        <w:spacing w:after="120"/>
        <w:rPr>
          <w:bCs/>
          <w:sz w:val="18"/>
          <w:szCs w:val="18"/>
        </w:rPr>
      </w:pPr>
      <w:r w:rsidRPr="001D3116">
        <w:rPr>
          <w:bCs/>
          <w:sz w:val="18"/>
          <w:szCs w:val="18"/>
        </w:rPr>
        <w:tab/>
        <w:t xml:space="preserve">Besprechung des Beitrags: </w:t>
      </w:r>
      <w:r w:rsidRPr="001D3116">
        <w:rPr>
          <w:i/>
          <w:sz w:val="18"/>
          <w:szCs w:val="18"/>
        </w:rPr>
        <w:t>Hettich</w:t>
      </w:r>
      <w:r w:rsidRPr="001D3116">
        <w:rPr>
          <w:sz w:val="18"/>
          <w:szCs w:val="18"/>
        </w:rPr>
        <w:t>, VBlBW 2023, 43 (43 f.).</w:t>
      </w:r>
    </w:p>
    <w:p w14:paraId="2460F304" w14:textId="3F322D51" w:rsidR="00C15F66" w:rsidRDefault="00C15F66" w:rsidP="00C15F66">
      <w:pPr>
        <w:spacing w:after="120"/>
        <w:rPr>
          <w:bCs/>
        </w:rPr>
      </w:pPr>
      <w:bookmarkStart w:id="2" w:name="_Hlk33686675"/>
      <w:r w:rsidRPr="002A6221">
        <w:rPr>
          <w:bCs/>
        </w:rPr>
        <w:t xml:space="preserve">Ausweisungsschutz, </w:t>
      </w:r>
      <w:r w:rsidRPr="002A6221">
        <w:rPr>
          <w:bCs/>
        </w:rPr>
        <w:br/>
        <w:t xml:space="preserve">in: Ferdinand Wollenschläger (Hrsg.), Europäischer Freizügigkeitsraum – Unionsbürgerschaft und Migrationsrecht, Band 10 der Enzyklopädie Europarecht (Gesamtherausgeber: Armin Hatje/Peter-Christian Müller-Graff), Baden-Baden (Nomos) 2020, </w:t>
      </w:r>
      <w:bookmarkEnd w:id="2"/>
      <w:r w:rsidRPr="002A6221">
        <w:rPr>
          <w:bCs/>
        </w:rPr>
        <w:t>S. 237</w:t>
      </w:r>
      <w:r w:rsidR="00386403">
        <w:t>–</w:t>
      </w:r>
      <w:r w:rsidRPr="002A6221">
        <w:rPr>
          <w:bCs/>
        </w:rPr>
        <w:t>262</w:t>
      </w:r>
    </w:p>
    <w:p w14:paraId="7230D3EB" w14:textId="7947CA86" w:rsidR="002A6221" w:rsidRPr="002A6221" w:rsidRDefault="002A6221" w:rsidP="002A6221">
      <w:pPr>
        <w:spacing w:after="120"/>
      </w:pPr>
      <w:r w:rsidRPr="002A6221">
        <w:t xml:space="preserve">Sozialrechtliches Antidiskriminierungsrecht, </w:t>
      </w:r>
      <w:r w:rsidRPr="002A6221">
        <w:br/>
        <w:t>in: Monika Schlachter/Hans Michael Heinig (Hrsg.), Europäisches Arbeits- und Sozialrecht, Band 7</w:t>
      </w:r>
      <w:r w:rsidRPr="002A6221">
        <w:rPr>
          <w:bCs/>
        </w:rPr>
        <w:t xml:space="preserve"> der Enzyklopädie Europarecht </w:t>
      </w:r>
      <w:r w:rsidR="0087238C">
        <w:rPr>
          <w:bCs/>
        </w:rPr>
        <w:t>(Gesamtherausgeber: Armin Hatje</w:t>
      </w:r>
      <w:r w:rsidRPr="002A6221">
        <w:rPr>
          <w:bCs/>
        </w:rPr>
        <w:t>/Peter-Christian Müller-Graff</w:t>
      </w:r>
      <w:r w:rsidRPr="002A6221">
        <w:t>), Baden-Baden (Nomos) 2015, S. 293</w:t>
      </w:r>
      <w:r w:rsidR="00386403">
        <w:t>–</w:t>
      </w:r>
      <w:r w:rsidRPr="002A6221">
        <w:t>327; 2. Auflage 2020,</w:t>
      </w:r>
      <w:r w:rsidRPr="002A6221">
        <w:rPr>
          <w:i/>
          <w:iCs/>
        </w:rPr>
        <w:t xml:space="preserve"> </w:t>
      </w:r>
      <w:r w:rsidRPr="002A6221">
        <w:t>S. 323</w:t>
      </w:r>
      <w:r w:rsidR="00386403">
        <w:t>–</w:t>
      </w:r>
      <w:r w:rsidRPr="002A6221">
        <w:t>358</w:t>
      </w:r>
      <w:r w:rsidRPr="002A6221">
        <w:br/>
        <w:t>(zusammen mit Stefan Huster)</w:t>
      </w:r>
    </w:p>
    <w:p w14:paraId="2C09814B" w14:textId="56D09BB0" w:rsidR="00C870AB" w:rsidRDefault="00C870AB" w:rsidP="002A6221">
      <w:pPr>
        <w:spacing w:after="120"/>
      </w:pPr>
    </w:p>
    <w:p w14:paraId="1BF19478" w14:textId="77777777" w:rsidR="00224785" w:rsidRPr="002A6221" w:rsidRDefault="00224785" w:rsidP="002A6221">
      <w:pPr>
        <w:spacing w:after="120"/>
      </w:pPr>
    </w:p>
    <w:p w14:paraId="4D3BE61E" w14:textId="77777777" w:rsidR="002A6221" w:rsidRPr="002A6221" w:rsidRDefault="002A6221" w:rsidP="002A6221">
      <w:pPr>
        <w:spacing w:after="120"/>
        <w:rPr>
          <w:b/>
          <w:bCs/>
        </w:rPr>
      </w:pPr>
      <w:r w:rsidRPr="002A6221">
        <w:rPr>
          <w:b/>
          <w:bCs/>
        </w:rPr>
        <w:t>Aufsätze</w:t>
      </w:r>
    </w:p>
    <w:p w14:paraId="2EF852D2" w14:textId="398A816F" w:rsidR="00C15F66" w:rsidRPr="001936F0" w:rsidRDefault="00C15F66" w:rsidP="00C15F66">
      <w:pPr>
        <w:spacing w:after="120"/>
        <w:rPr>
          <w:iCs/>
        </w:rPr>
      </w:pPr>
      <w:r w:rsidRPr="00160758">
        <w:rPr>
          <w:iCs/>
        </w:rPr>
        <w:t>Cannabis aus der Apotheke – Der Anspruch der Versicherten nach § 31 Abs. 6 SGB V</w:t>
      </w:r>
      <w:r>
        <w:rPr>
          <w:iCs/>
        </w:rPr>
        <w:t xml:space="preserve"> (z</w:t>
      </w:r>
      <w:bookmarkStart w:id="3" w:name="ID0172"/>
      <w:bookmarkEnd w:id="3"/>
      <w:r w:rsidRPr="00160758">
        <w:rPr>
          <w:iCs/>
        </w:rPr>
        <w:t>ugleich Besprechung von BSG, Urt. v. 10.11.2022 – B 1 KR 28/21 R</w:t>
      </w:r>
      <w:r>
        <w:rPr>
          <w:iCs/>
        </w:rPr>
        <w:t xml:space="preserve">), SGb 2023, </w:t>
      </w:r>
      <w:r w:rsidR="0087238C">
        <w:t>230–237</w:t>
      </w:r>
      <w:r w:rsidR="002A6932">
        <w:rPr>
          <w:iCs/>
        </w:rPr>
        <w:t xml:space="preserve"> </w:t>
      </w:r>
      <w:r>
        <w:rPr>
          <w:iCs/>
        </w:rPr>
        <w:t>(mit Amelie Folttmann)</w:t>
      </w:r>
    </w:p>
    <w:p w14:paraId="446251B2" w14:textId="33DFED18" w:rsidR="00C15F66" w:rsidRDefault="00C15F66" w:rsidP="00C15F66">
      <w:pPr>
        <w:spacing w:after="120"/>
        <w:rPr>
          <w:iCs/>
        </w:rPr>
      </w:pPr>
      <w:r w:rsidRPr="001936F0">
        <w:t xml:space="preserve">Grenzüberschreitende Pandemiebekämpfung an den deutschen Binnen- und Außengrenzen, </w:t>
      </w:r>
      <w:r w:rsidRPr="001936F0">
        <w:rPr>
          <w:iCs/>
        </w:rPr>
        <w:t>in: Dominik Brodowski/Jonas Nesselhauf/Florian Weber (Hrsg.), Pandemisches Virus – nationales Handeln: Covid-19 und die europäische Idee, Wiesbaden (Springer VS), 2023, S. 67</w:t>
      </w:r>
      <w:r w:rsidR="00386403">
        <w:t>–</w:t>
      </w:r>
      <w:r w:rsidRPr="001936F0">
        <w:rPr>
          <w:iCs/>
        </w:rPr>
        <w:t>86</w:t>
      </w:r>
    </w:p>
    <w:p w14:paraId="146829AF" w14:textId="1BEC32CD" w:rsidR="00C15F66" w:rsidRPr="001936F0" w:rsidRDefault="00C15F66" w:rsidP="00C15F66">
      <w:pPr>
        <w:spacing w:after="120"/>
      </w:pPr>
      <w:r w:rsidRPr="001936F0">
        <w:t>Die einrichtungsbezogene Impfpflicht – eine Bilanz nach sechs Monaten, NJW 2022, 2798</w:t>
      </w:r>
      <w:r w:rsidR="00386403">
        <w:t>–</w:t>
      </w:r>
      <w:r w:rsidRPr="001936F0">
        <w:t>2803 (mit Lamia Amhaouach)</w:t>
      </w:r>
    </w:p>
    <w:p w14:paraId="50B8C7AE" w14:textId="2E4D5FEC" w:rsidR="00C15F66" w:rsidRPr="001936F0" w:rsidRDefault="00C15F66" w:rsidP="00C15F66">
      <w:pPr>
        <w:tabs>
          <w:tab w:val="left" w:pos="4860"/>
        </w:tabs>
        <w:spacing w:after="120"/>
      </w:pPr>
      <w:r w:rsidRPr="001936F0">
        <w:t>Krankheitsprävention und Gesundheitsförderung – tut der Staat zu viel oder zu wenig?, RPG 2022, 43</w:t>
      </w:r>
      <w:r w:rsidR="00386403">
        <w:t>–</w:t>
      </w:r>
      <w:r w:rsidRPr="001936F0">
        <w:t>51 [Zusammenfassung der Habilitationsschrift]</w:t>
      </w:r>
    </w:p>
    <w:p w14:paraId="20887534" w14:textId="3BC9A29F" w:rsidR="00C15F66" w:rsidRDefault="00C15F66" w:rsidP="00C15F66">
      <w:pPr>
        <w:spacing w:after="120"/>
      </w:pPr>
      <w:r w:rsidRPr="00C0374F">
        <w:t>Rechte und Pflichten von Asylbewerber:innen bei der Infektionsprävention – Eine Querschnittsbetrachtung von Migrations-, Infektionsschutz- und Sozialrecht, ZAR 2022, 3</w:t>
      </w:r>
      <w:r w:rsidR="00386403">
        <w:t>–</w:t>
      </w:r>
      <w:r w:rsidRPr="00C0374F">
        <w:t xml:space="preserve">9 </w:t>
      </w:r>
      <w:r>
        <w:t>(mit Lamia Amhaouach)</w:t>
      </w:r>
    </w:p>
    <w:p w14:paraId="7B7FDE65" w14:textId="3E6BB157" w:rsidR="00C15F66" w:rsidRDefault="00C15F66" w:rsidP="00C15F66">
      <w:pPr>
        <w:spacing w:after="120"/>
      </w:pPr>
      <w:bookmarkStart w:id="4" w:name="ID0171"/>
      <w:bookmarkEnd w:id="4"/>
      <w:r w:rsidRPr="002A6221">
        <w:t>Von der punktuellen Gefahrenabwehr zur planerischen Risikovorsorge im Infektionsschutzrecht, JZ 2022, 53</w:t>
      </w:r>
      <w:r w:rsidR="00386403">
        <w:t>–</w:t>
      </w:r>
      <w:r w:rsidRPr="002A6221">
        <w:t>62</w:t>
      </w:r>
    </w:p>
    <w:p w14:paraId="39A4D140" w14:textId="4EB144D9" w:rsidR="00C15F66" w:rsidRPr="002A6221" w:rsidRDefault="00C15F66" w:rsidP="00C15F66">
      <w:pPr>
        <w:spacing w:after="120"/>
        <w:rPr>
          <w:i/>
          <w:iCs/>
        </w:rPr>
      </w:pPr>
      <w:r w:rsidRPr="002A6221">
        <w:t xml:space="preserve">Corona-Maßnahmen in Herbst und Winter 2021/22 nach Ende der „epidemischen Lage“ – Update, </w:t>
      </w:r>
      <w:r w:rsidRPr="002A6221">
        <w:rPr>
          <w:iCs/>
        </w:rPr>
        <w:t>NVwZ 2022, 15</w:t>
      </w:r>
      <w:r w:rsidR="00386403">
        <w:t>–</w:t>
      </w:r>
      <w:r w:rsidRPr="002A6221">
        <w:rPr>
          <w:iCs/>
        </w:rPr>
        <w:t>19</w:t>
      </w:r>
    </w:p>
    <w:p w14:paraId="374548D3" w14:textId="01AC7A4E" w:rsidR="00C15F66" w:rsidRPr="002A6221" w:rsidRDefault="00C15F66" w:rsidP="00C15F66">
      <w:pPr>
        <w:spacing w:after="120"/>
      </w:pPr>
      <w:r w:rsidRPr="002A6221">
        <w:t>Corona-Maßnahmen in Herbst und Winter 2021/22 nach Ende der „epidemischen Lage“, NVwZ 2021, 1801</w:t>
      </w:r>
      <w:r w:rsidR="00386403">
        <w:t>–</w:t>
      </w:r>
      <w:r w:rsidRPr="002A6221">
        <w:t>1808</w:t>
      </w:r>
    </w:p>
    <w:p w14:paraId="6CCAF356" w14:textId="5B74F93F" w:rsidR="00C15F66" w:rsidRPr="002A6221" w:rsidRDefault="00C15F66" w:rsidP="00C15F66">
      <w:pPr>
        <w:spacing w:after="120"/>
        <w:rPr>
          <w:i/>
          <w:iCs/>
        </w:rPr>
      </w:pPr>
      <w:r w:rsidRPr="002A6221">
        <w:t>Individuelle Ansprüche und bevölkerungsbezogene Ziele: die Verordnungsermächtigung des §</w:t>
      </w:r>
      <w:r w:rsidR="00386403">
        <w:t xml:space="preserve"> 20i III 2 SGB V, SGb 2021, 730–</w:t>
      </w:r>
      <w:r w:rsidRPr="002A6221">
        <w:t>737</w:t>
      </w:r>
    </w:p>
    <w:p w14:paraId="41ABF191" w14:textId="4FCCFB79" w:rsidR="00C15F66" w:rsidRPr="002A6221" w:rsidRDefault="00C15F66" w:rsidP="00C15F66">
      <w:pPr>
        <w:spacing w:after="120"/>
      </w:pPr>
      <w:r w:rsidRPr="002A6221">
        <w:t>Der Anspruch Geduldeter auf Gewährleistung des soziokulturellen Existenzminimums, in: Gabriele Buchholtz/Johanna Croon-Gestefeld/Andreas Kerkemeyer (Hrsg.), Integratives Recht, Tübingen (Mohr Siebeck) 2021, S. 75</w:t>
      </w:r>
      <w:r w:rsidR="00386403">
        <w:t>–</w:t>
      </w:r>
      <w:r w:rsidRPr="002A6221">
        <w:t>95</w:t>
      </w:r>
    </w:p>
    <w:p w14:paraId="7FD3E909" w14:textId="64E49C6F" w:rsidR="00C15F66" w:rsidRPr="002A6221" w:rsidRDefault="00C15F66" w:rsidP="00C15F66">
      <w:pPr>
        <w:spacing w:after="120"/>
      </w:pPr>
      <w:r w:rsidRPr="002A6221">
        <w:lastRenderedPageBreak/>
        <w:t xml:space="preserve">Die Feststellung der „epidemischen Lage“ als Voraussetzung der </w:t>
      </w:r>
      <w:r w:rsidR="00386403">
        <w:t>Maskenpflicht?, NVwZ 2021, 1245–</w:t>
      </w:r>
      <w:r w:rsidRPr="002A6221">
        <w:t>1248</w:t>
      </w:r>
    </w:p>
    <w:p w14:paraId="59994FA4" w14:textId="5C42AA2D" w:rsidR="00C15F66" w:rsidRDefault="00C15F66" w:rsidP="00C15F66">
      <w:pPr>
        <w:spacing w:after="120"/>
      </w:pPr>
      <w:r w:rsidRPr="002A6221">
        <w:t>Gesundheitsschutz durch Eingriff oder Aufklärung? Das Ringen um den angemessenen Umgang mit der neuen Seuche AIDS, in: Martin Löhnig (Hrsg.), Beginn der Gegenwart. Studien zur juristischen Zeitgeschichte der 1980er Jahre, Brill 2021, S. 159</w:t>
      </w:r>
      <w:r w:rsidR="00386403">
        <w:t>–</w:t>
      </w:r>
      <w:r w:rsidRPr="002A6221">
        <w:t>185</w:t>
      </w:r>
    </w:p>
    <w:p w14:paraId="3CB11147" w14:textId="1E391F35" w:rsidR="00C15F66" w:rsidRPr="002A6221" w:rsidRDefault="00C15F66" w:rsidP="00C15F66">
      <w:pPr>
        <w:spacing w:after="120"/>
      </w:pPr>
      <w:r w:rsidRPr="002A6221">
        <w:t>Die Beteiligung der Landesparlamente in der Pandemie – Modelle und Entwicklungen, NVwZ 2021, 825</w:t>
      </w:r>
      <w:r w:rsidR="00386403">
        <w:t>–</w:t>
      </w:r>
      <w:r w:rsidRPr="002A6221">
        <w:t>830 (gemeinsam mit Lamia Amhaouach/Stefan Huster/Lynn Schaefer)</w:t>
      </w:r>
    </w:p>
    <w:p w14:paraId="41CF024F" w14:textId="60D6075E" w:rsidR="00C15F66" w:rsidRPr="002A6221" w:rsidRDefault="00C15F66" w:rsidP="00C15F66">
      <w:pPr>
        <w:spacing w:after="120"/>
      </w:pPr>
      <w:r w:rsidRPr="002A6221">
        <w:t xml:space="preserve">Die aktionelle Maßnahme im Vorfeld: Voraussetzungen und Grenzen im Lichte aktueller Gesetzesänderungen, in: Andreas Kulick/Michael Goldhammer (Hrsg.), Der Terrorist als Feind?, </w:t>
      </w:r>
      <w:bookmarkStart w:id="5" w:name="_Hlk33426033"/>
      <w:r w:rsidRPr="002A6221">
        <w:t>Tübingen (Mohr Siebeck) 2020, S. 261</w:t>
      </w:r>
      <w:r w:rsidR="00386403">
        <w:t>–</w:t>
      </w:r>
      <w:r w:rsidRPr="002A6221">
        <w:t>283</w:t>
      </w:r>
      <w:bookmarkEnd w:id="5"/>
    </w:p>
    <w:p w14:paraId="3E3BAD7A" w14:textId="5D8B8FE3" w:rsidR="00C15F66" w:rsidRPr="002A6221" w:rsidRDefault="00C15F66" w:rsidP="00C15F66">
      <w:pPr>
        <w:spacing w:after="120"/>
      </w:pPr>
      <w:r w:rsidRPr="002A6221">
        <w:t xml:space="preserve">Gefahr für die Trägervielfalt? Zu den geplanten Änderungen am nordrhein-westfälischen Finanzierungssystem für Kindertageseinrichtungen durch die KiBiz-Novelle 2019, </w:t>
      </w:r>
      <w:r w:rsidRPr="002A6221">
        <w:rPr>
          <w:iCs/>
        </w:rPr>
        <w:t>ZevKR 2019, 335</w:t>
      </w:r>
      <w:r w:rsidR="00386403">
        <w:t>–</w:t>
      </w:r>
      <w:r w:rsidRPr="002A6221">
        <w:rPr>
          <w:iCs/>
        </w:rPr>
        <w:t>373</w:t>
      </w:r>
      <w:r>
        <w:rPr>
          <w:iCs/>
        </w:rPr>
        <w:t xml:space="preserve"> </w:t>
      </w:r>
      <w:r w:rsidRPr="002A6221">
        <w:t>(gemeinsam mit Stefan Huster)</w:t>
      </w:r>
    </w:p>
    <w:p w14:paraId="65954DFC" w14:textId="303EBD4A" w:rsidR="00C15F66" w:rsidRPr="002A6221" w:rsidRDefault="00C15F66" w:rsidP="00C15F66">
      <w:pPr>
        <w:spacing w:after="120"/>
        <w:rPr>
          <w:i/>
          <w:iCs/>
        </w:rPr>
      </w:pPr>
      <w:bookmarkStart w:id="6" w:name="_Hlk33686655"/>
      <w:r w:rsidRPr="002A6221">
        <w:t xml:space="preserve">Die Steigerung der Masernimpfraten von Kindern – Möglichkeiten und Grenzen des Rechts, </w:t>
      </w:r>
      <w:r w:rsidRPr="002A6221">
        <w:rPr>
          <w:iCs/>
        </w:rPr>
        <w:t>MedR 2019, 853</w:t>
      </w:r>
      <w:r w:rsidR="00386403">
        <w:t>–</w:t>
      </w:r>
      <w:r w:rsidRPr="002A6221">
        <w:rPr>
          <w:iCs/>
        </w:rPr>
        <w:t xml:space="preserve">861 </w:t>
      </w:r>
      <w:r w:rsidRPr="002A6221">
        <w:t>(gemeinsam mit Lamia Amhaouach)</w:t>
      </w:r>
    </w:p>
    <w:p w14:paraId="7CECFDA1" w14:textId="0DDB6EB6" w:rsidR="00C15F66" w:rsidRPr="002A6221" w:rsidRDefault="00C15F66" w:rsidP="00C15F66">
      <w:pPr>
        <w:spacing w:after="120"/>
      </w:pPr>
      <w:bookmarkStart w:id="7" w:name="_Hlk33687481"/>
      <w:bookmarkEnd w:id="6"/>
      <w:r w:rsidRPr="002A6221">
        <w:t>Beobachtungs- und Evaluationsaufträge an den Gesetzgeber in der Rechtsprechung des Bundesverfassungsgerichts. Kommentar zu Karl-Jürgen Bieback, Zeitschrift für Rechtssoziologie 2018, 60</w:t>
      </w:r>
      <w:r w:rsidR="00386403">
        <w:t>–</w:t>
      </w:r>
      <w:r w:rsidRPr="002A6221">
        <w:t>68</w:t>
      </w:r>
    </w:p>
    <w:bookmarkEnd w:id="7"/>
    <w:p w14:paraId="2BC05102" w14:textId="03CFF10B" w:rsidR="00C15F66" w:rsidRPr="002A6221" w:rsidRDefault="00C15F66" w:rsidP="00C15F66">
      <w:pPr>
        <w:spacing w:after="120"/>
      </w:pPr>
      <w:r w:rsidRPr="002A6221">
        <w:t xml:space="preserve">Der Rechtsanspruch auf einen Kitaplatz als Instrument zur Erleichterung der Vereinbarkeit </w:t>
      </w:r>
      <w:r>
        <w:t>v</w:t>
      </w:r>
      <w:r w:rsidRPr="002A6221">
        <w:t>on Familie und Beruf – zugleich Anmerkung zu BGH, Urteil vom 20.10.2016, ZFSH/SGB 2017, 676</w:t>
      </w:r>
      <w:r w:rsidR="00386403">
        <w:t>–</w:t>
      </w:r>
      <w:r w:rsidRPr="002A6221">
        <w:t>680 (zusammen mit Lamia Amhaouach)</w:t>
      </w:r>
    </w:p>
    <w:p w14:paraId="5C872DF2" w14:textId="571D37B0" w:rsidR="00C15F66" w:rsidRPr="002A6221" w:rsidRDefault="00C15F66" w:rsidP="00C15F66">
      <w:pPr>
        <w:spacing w:after="120"/>
      </w:pPr>
      <w:r w:rsidRPr="002A6221">
        <w:t>Ein „neues“ Instrument der Terrorismusabwehr: die Auferstehung der Abschiebungsanordnung nach § 58a AufenthG, NVwZ 2017, 1019</w:t>
      </w:r>
      <w:r w:rsidR="00386403">
        <w:t>–</w:t>
      </w:r>
      <w:r w:rsidRPr="002A6221">
        <w:t>1022</w:t>
      </w:r>
    </w:p>
    <w:p w14:paraId="60E1B18D" w14:textId="6D48E9E3" w:rsidR="00C15F66" w:rsidRPr="002A6221" w:rsidRDefault="00C15F66" w:rsidP="00C15F66">
      <w:pPr>
        <w:spacing w:after="120"/>
      </w:pPr>
      <w:r w:rsidRPr="002A6221">
        <w:t>Schwanger oder krank? Abgrenzungsfragen der Leistungen der GKV bei Schwangerschaft und Mutterschaft, NZS 2017, 373</w:t>
      </w:r>
      <w:r w:rsidR="00386403">
        <w:t>–</w:t>
      </w:r>
      <w:r w:rsidRPr="002A6221">
        <w:t>375</w:t>
      </w:r>
    </w:p>
    <w:p w14:paraId="5F1623CE" w14:textId="745DA992" w:rsidR="00C15F66" w:rsidRPr="002A6221" w:rsidRDefault="00C15F66" w:rsidP="00C15F66">
      <w:pPr>
        <w:spacing w:after="120"/>
      </w:pPr>
      <w:bookmarkStart w:id="8" w:name="_Hlk33686635"/>
      <w:r w:rsidRPr="002A6221">
        <w:t>Gefahraufklärungsbefugnisse in der Polizeirechtsdogmatik – Überlegungen anlässlich des Urteils des Bundesverfassungsgerichts zum BKAG, VerwArch 108 (2017), 282</w:t>
      </w:r>
      <w:r w:rsidR="00386403">
        <w:t>–</w:t>
      </w:r>
      <w:r w:rsidRPr="002A6221">
        <w:t>301</w:t>
      </w:r>
    </w:p>
    <w:bookmarkEnd w:id="8"/>
    <w:p w14:paraId="70FCBEDE" w14:textId="2C6431C4" w:rsidR="00C15F66" w:rsidRPr="002A6221" w:rsidRDefault="00C15F66" w:rsidP="00C15F66">
      <w:pPr>
        <w:spacing w:after="120"/>
      </w:pPr>
      <w:r w:rsidRPr="002A6221">
        <w:t>Der Einfluss des Bundes auf die Ausführung von Geldleistungsgesetzen im Rahmen der Bundesauftragsverwaltung – das Beispiel der Anordnung von Stichprobenkontrollen, Die Verwaltung 2016, 577</w:t>
      </w:r>
      <w:r w:rsidR="00386403">
        <w:t>–</w:t>
      </w:r>
      <w:r w:rsidRPr="002A6221">
        <w:t>588 (zusammen mit Stefan Huster</w:t>
      </w:r>
      <w:r w:rsidRPr="002A6221">
        <w:rPr>
          <w:iCs/>
        </w:rPr>
        <w:t>)</w:t>
      </w:r>
    </w:p>
    <w:p w14:paraId="14B6281C" w14:textId="719ABFFC" w:rsidR="00C15F66" w:rsidRPr="002A6221" w:rsidRDefault="00C15F66" w:rsidP="00C15F66">
      <w:pPr>
        <w:spacing w:after="120"/>
        <w:rPr>
          <w:i/>
        </w:rPr>
      </w:pPr>
      <w:bookmarkStart w:id="9" w:name="_Hlk33686623"/>
      <w:r w:rsidRPr="002A6221">
        <w:t>Der deutsche Sozialstaat als Sozialversicherungsstaat und seine Auswirkungen auf das Präventionsrecht [erweiterte Fassung von „Prävention oder Kuration? Pfadabhängigkeit im Sozialstaat“], Rechtswissenschaft 2016, 597</w:t>
      </w:r>
      <w:r w:rsidR="00386403">
        <w:t>–</w:t>
      </w:r>
      <w:r w:rsidRPr="002A6221">
        <w:t>624</w:t>
      </w:r>
    </w:p>
    <w:bookmarkEnd w:id="9"/>
    <w:p w14:paraId="3C34EF48" w14:textId="5C0EF605" w:rsidR="00C15F66" w:rsidRPr="002A6221" w:rsidRDefault="00C15F66" w:rsidP="00C15F66">
      <w:pPr>
        <w:spacing w:after="120"/>
      </w:pPr>
      <w:r w:rsidRPr="002A6221">
        <w:t>Prävention oder Kuration? Pfadabhängigkeit im Sozialstaat, in: 56. Assistententagung Öffentliches Recht (Hrsg.), Pfadabhängigkeit hoheitlicher Ordnungsmodelle, Baden-Baden 2016, S. 323</w:t>
      </w:r>
      <w:r w:rsidR="00386403">
        <w:t>–</w:t>
      </w:r>
      <w:r w:rsidRPr="002A6221">
        <w:t>345</w:t>
      </w:r>
    </w:p>
    <w:p w14:paraId="70DB1F88" w14:textId="1962E39E" w:rsidR="00C15F66" w:rsidRPr="002A6221" w:rsidRDefault="00C15F66" w:rsidP="00C15F66">
      <w:pPr>
        <w:spacing w:after="120"/>
        <w:rPr>
          <w:i/>
        </w:rPr>
      </w:pPr>
      <w:r w:rsidRPr="002A6221">
        <w:t>Nichtstörer und andere Unbeteiligte als Adressaten von Polizeiverfügungen, JURA 2016, 483</w:t>
      </w:r>
      <w:r w:rsidR="00386403">
        <w:t>–</w:t>
      </w:r>
      <w:r w:rsidRPr="002A6221">
        <w:t>494</w:t>
      </w:r>
    </w:p>
    <w:p w14:paraId="18C56FBC" w14:textId="50600408" w:rsidR="00C15F66" w:rsidRPr="002A6221" w:rsidRDefault="00C15F66" w:rsidP="00C15F66">
      <w:pPr>
        <w:spacing w:after="120"/>
      </w:pPr>
      <w:r w:rsidRPr="002A6221">
        <w:t>Fremdenpolizeirecht im Rechtsstaat(?) – Zu Herkunft und Zukunft des Ausweisungsrechts, ZAR 2016, 45</w:t>
      </w:r>
      <w:r w:rsidR="00386403">
        <w:t>–</w:t>
      </w:r>
      <w:r w:rsidRPr="002A6221">
        <w:t>52</w:t>
      </w:r>
    </w:p>
    <w:p w14:paraId="76F2FE57" w14:textId="107F0270" w:rsidR="00C15F66" w:rsidRPr="002A6221" w:rsidRDefault="00C15F66" w:rsidP="00C15F66">
      <w:pPr>
        <w:spacing w:after="120"/>
      </w:pPr>
      <w:r w:rsidRPr="002A6221">
        <w:lastRenderedPageBreak/>
        <w:t>Das Recht auf Freizügigkeit und seine Schranken nach zehn Jahren Aufenthalt im Aufnahmemitgliedstaat, EuR 2015, 641</w:t>
      </w:r>
      <w:r w:rsidR="00386403">
        <w:t>–</w:t>
      </w:r>
      <w:r w:rsidRPr="002A6221">
        <w:t>661</w:t>
      </w:r>
    </w:p>
    <w:p w14:paraId="188751A0" w14:textId="595B0356" w:rsidR="00C15F66" w:rsidRPr="002A6221" w:rsidRDefault="00C15F66" w:rsidP="00C15F66">
      <w:pPr>
        <w:spacing w:after="120"/>
        <w:rPr>
          <w:bCs/>
        </w:rPr>
      </w:pPr>
      <w:r w:rsidRPr="002A6221">
        <w:rPr>
          <w:bCs/>
        </w:rPr>
        <w:t>Die Anlage der Rücklage von Sozialversicherungsträgern in Darlehen für gemeinnützige Zwecke, SGb 2015, 310</w:t>
      </w:r>
      <w:r w:rsidR="00386403">
        <w:t>–</w:t>
      </w:r>
      <w:r w:rsidRPr="002A6221">
        <w:rPr>
          <w:bCs/>
        </w:rPr>
        <w:t>315 (zusammen mit Stefan Huster)</w:t>
      </w:r>
    </w:p>
    <w:p w14:paraId="725DC1A3" w14:textId="366520D9" w:rsidR="002A6221" w:rsidRPr="002A6221" w:rsidRDefault="002A6221" w:rsidP="002A6221">
      <w:pPr>
        <w:spacing w:after="120"/>
        <w:rPr>
          <w:bCs/>
        </w:rPr>
      </w:pPr>
      <w:bookmarkStart w:id="10" w:name="_Hlk33686571"/>
      <w:r w:rsidRPr="002A6221">
        <w:rPr>
          <w:bCs/>
        </w:rPr>
        <w:t>Die Funktion der Staatsangehörigkeit als verlässliche Grundlage gleichberechtigter Zugehörigkeit, Der Staat 54 (2015), 1</w:t>
      </w:r>
      <w:r w:rsidR="00386403">
        <w:t>–</w:t>
      </w:r>
      <w:r w:rsidRPr="002A6221">
        <w:rPr>
          <w:bCs/>
        </w:rPr>
        <w:t xml:space="preserve">34 </w:t>
      </w:r>
    </w:p>
    <w:p w14:paraId="07489D2C" w14:textId="6E5CDCFC" w:rsidR="00C15F66" w:rsidRPr="002A6221" w:rsidRDefault="00C15F66" w:rsidP="00C15F66">
      <w:pPr>
        <w:spacing w:after="120"/>
        <w:rPr>
          <w:bCs/>
        </w:rPr>
      </w:pPr>
      <w:bookmarkStart w:id="11" w:name="_Hlk61898524"/>
      <w:bookmarkStart w:id="12" w:name="_Hlk33686664"/>
      <w:bookmarkEnd w:id="10"/>
      <w:r w:rsidRPr="002A6221">
        <w:rPr>
          <w:bCs/>
        </w:rPr>
        <w:t>Gesetzgebung im Sozialstaat und gleichheitsrechtliche Dogmatik. Irrungen und Wirrungen am Beispiel der „Rente mit 63“, ZRP 2014, 171</w:t>
      </w:r>
      <w:r w:rsidR="00386403">
        <w:t>–</w:t>
      </w:r>
      <w:r w:rsidRPr="002A6221">
        <w:rPr>
          <w:bCs/>
        </w:rPr>
        <w:t>174 (zusammen mit Stefan Huster)</w:t>
      </w:r>
    </w:p>
    <w:p w14:paraId="40CBDDA1" w14:textId="463F8A79" w:rsidR="00C15F66" w:rsidRPr="002A6221" w:rsidRDefault="00C15F66" w:rsidP="00C15F66">
      <w:pPr>
        <w:spacing w:after="120"/>
        <w:rPr>
          <w:bCs/>
        </w:rPr>
      </w:pPr>
      <w:bookmarkStart w:id="13" w:name="_Hlk33686562"/>
      <w:r w:rsidRPr="002A6221">
        <w:rPr>
          <w:bCs/>
        </w:rPr>
        <w:t>Das österreichische Verbot der Eizellspende in der Rechtsprechung des EGMR, GesR 2013, 458</w:t>
      </w:r>
      <w:r w:rsidR="00386403">
        <w:t>–</w:t>
      </w:r>
      <w:r w:rsidRPr="002A6221">
        <w:rPr>
          <w:bCs/>
        </w:rPr>
        <w:t>463</w:t>
      </w:r>
    </w:p>
    <w:bookmarkEnd w:id="13"/>
    <w:p w14:paraId="122F9D55" w14:textId="62308945" w:rsidR="00C15F66" w:rsidRPr="002A6221" w:rsidRDefault="00C15F66" w:rsidP="00C15F66">
      <w:pPr>
        <w:spacing w:after="120"/>
        <w:rPr>
          <w:bCs/>
        </w:rPr>
      </w:pPr>
      <w:r w:rsidRPr="002A6221">
        <w:rPr>
          <w:bCs/>
        </w:rPr>
        <w:t>Religionsfreiheit zwischen menschen- und grundrechtlichem Schutz, in: Falk Bornmüller/</w:t>
      </w:r>
      <w:r w:rsidR="0087238C">
        <w:rPr>
          <w:bCs/>
        </w:rPr>
        <w:t>Thomas Hoffmann</w:t>
      </w:r>
      <w:r w:rsidRPr="002A6221">
        <w:rPr>
          <w:bCs/>
        </w:rPr>
        <w:t>/Arnd Pollmann (Hrsg.), Menschenrechte und Demokratie. Georg Lohmann zum 65. Geburtstag, Freiburg/München (Karl Alber), 2013, S. 297</w:t>
      </w:r>
      <w:r w:rsidR="00386403">
        <w:t>–</w:t>
      </w:r>
      <w:r w:rsidRPr="002A6221">
        <w:rPr>
          <w:bCs/>
        </w:rPr>
        <w:t>312 (zusammen mit Stefan Huster)</w:t>
      </w:r>
    </w:p>
    <w:p w14:paraId="4A36F993" w14:textId="26380391" w:rsidR="00C15F66" w:rsidRPr="002A6221" w:rsidRDefault="00C15F66" w:rsidP="00C15F66">
      <w:pPr>
        <w:spacing w:after="120"/>
        <w:rPr>
          <w:bCs/>
        </w:rPr>
      </w:pPr>
      <w:bookmarkStart w:id="14" w:name="_Hlk33688440"/>
      <w:bookmarkEnd w:id="11"/>
      <w:bookmarkEnd w:id="12"/>
      <w:r w:rsidRPr="002A6221">
        <w:rPr>
          <w:bCs/>
        </w:rPr>
        <w:t>Die Verschärfung des Ausweisungsrechts als symbolpolitisches Mittel gegen extremistische Bestrebungen – dargestellt am Beispiel der Salafisten, ZAR 2013, 45</w:t>
      </w:r>
      <w:r w:rsidR="00386403">
        <w:t>–</w:t>
      </w:r>
      <w:r w:rsidRPr="002A6221">
        <w:rPr>
          <w:bCs/>
        </w:rPr>
        <w:t>51</w:t>
      </w:r>
    </w:p>
    <w:bookmarkEnd w:id="14"/>
    <w:p w14:paraId="4B4D5B3E" w14:textId="796D6BFD" w:rsidR="00C15F66" w:rsidRPr="002A6221" w:rsidRDefault="00C15F66" w:rsidP="00C15F66">
      <w:pPr>
        <w:spacing w:after="120"/>
        <w:rPr>
          <w:bCs/>
        </w:rPr>
      </w:pPr>
      <w:r w:rsidRPr="002A6221">
        <w:rPr>
          <w:bCs/>
        </w:rPr>
        <w:t>Die dogmatische Einordnung der polizeilichen Gefährderansprache in das allgemeine Polizeirecht – Überlegungen zu einer neuen „Standardmaßnahme“, DVBl 2012, 1210</w:t>
      </w:r>
      <w:r w:rsidR="00386403">
        <w:t>–</w:t>
      </w:r>
      <w:r w:rsidRPr="002A6221">
        <w:rPr>
          <w:bCs/>
        </w:rPr>
        <w:t>1217</w:t>
      </w:r>
    </w:p>
    <w:p w14:paraId="3EBEAE58" w14:textId="77188300" w:rsidR="00C15F66" w:rsidRPr="002A6221" w:rsidRDefault="00C15F66" w:rsidP="00C15F66">
      <w:pPr>
        <w:spacing w:after="120"/>
        <w:rPr>
          <w:bCs/>
        </w:rPr>
      </w:pPr>
      <w:r w:rsidRPr="002A6221">
        <w:rPr>
          <w:bCs/>
        </w:rPr>
        <w:t>Die Unterstützung des Terrorismus durch Vereinigungen und ihr Nachweis gem. §</w:t>
      </w:r>
      <w:r>
        <w:rPr>
          <w:bCs/>
        </w:rPr>
        <w:t> </w:t>
      </w:r>
      <w:r w:rsidRPr="002A6221">
        <w:rPr>
          <w:bCs/>
        </w:rPr>
        <w:t>54 Nr. 5 AufenthG, NVwZ 2012, 677</w:t>
      </w:r>
      <w:r w:rsidR="00386403">
        <w:t>–</w:t>
      </w:r>
      <w:r w:rsidRPr="002A6221">
        <w:rPr>
          <w:bCs/>
        </w:rPr>
        <w:t>679*</w:t>
      </w:r>
    </w:p>
    <w:p w14:paraId="0830A286" w14:textId="4E89D585" w:rsidR="00C15F66" w:rsidRPr="002A6221" w:rsidRDefault="00C15F66" w:rsidP="00C15F66">
      <w:pPr>
        <w:spacing w:after="120"/>
        <w:rPr>
          <w:lang w:val="en-GB"/>
        </w:rPr>
      </w:pPr>
      <w:r w:rsidRPr="002A6221">
        <w:rPr>
          <w:lang w:val="en-GB"/>
        </w:rPr>
        <w:t xml:space="preserve">The Loss of Citizenship by Revocation of Naturalization or </w:t>
      </w:r>
      <w:r w:rsidRPr="002A6221">
        <w:rPr>
          <w:i/>
          <w:lang w:val="en-GB"/>
        </w:rPr>
        <w:t>ex lege</w:t>
      </w:r>
      <w:r w:rsidRPr="002A6221">
        <w:rPr>
          <w:lang w:val="en-GB"/>
        </w:rPr>
        <w:t>: Overview of German Case Law and Legislative Changes of 2009, 12 German Law Journal (2011), 1659</w:t>
      </w:r>
      <w:r w:rsidR="00386403">
        <w:t>–</w:t>
      </w:r>
      <w:r w:rsidRPr="002A6221">
        <w:rPr>
          <w:lang w:val="en-GB"/>
        </w:rPr>
        <w:t>1680*</w:t>
      </w:r>
    </w:p>
    <w:p w14:paraId="13DB05FF" w14:textId="43B86FDF" w:rsidR="00C15F66" w:rsidRPr="002A6221" w:rsidRDefault="00C15F66" w:rsidP="00C15F66">
      <w:pPr>
        <w:spacing w:after="120"/>
      </w:pPr>
      <w:r w:rsidRPr="002A6221">
        <w:t>Die verbindliche Schulformempfehlung als Rechtsproblem – Eine Bestandsaufnahme anlässlich der Neuregelung in Nordrhein-Westfalen, RdJB 2010, 212</w:t>
      </w:r>
      <w:r w:rsidR="00386403">
        <w:t>–</w:t>
      </w:r>
      <w:r w:rsidRPr="002A6221">
        <w:t>222* (zusammen mit Stefan Huster)</w:t>
      </w:r>
    </w:p>
    <w:p w14:paraId="76E7CD60" w14:textId="1CCAC875" w:rsidR="00C15F66" w:rsidRPr="002A6221" w:rsidRDefault="00C15F66" w:rsidP="00C15F66">
      <w:pPr>
        <w:spacing w:after="120"/>
      </w:pPr>
      <w:bookmarkStart w:id="15" w:name="_Hlk33686551"/>
      <w:r w:rsidRPr="002A6221">
        <w:t>Beamtenrecht im Examen – ein Überblick über das prüfungsrelevante Wissen und die jüngsten Neuregelungen, JURA 2010, 487</w:t>
      </w:r>
      <w:r w:rsidR="00386403">
        <w:t>–</w:t>
      </w:r>
      <w:r w:rsidRPr="002A6221">
        <w:t>492*</w:t>
      </w:r>
    </w:p>
    <w:p w14:paraId="6CA91512" w14:textId="5A1A0252" w:rsidR="00C15F66" w:rsidRPr="002A6221" w:rsidRDefault="00C15F66" w:rsidP="00C15F66">
      <w:pPr>
        <w:spacing w:after="120"/>
      </w:pPr>
      <w:r w:rsidRPr="002A6221">
        <w:t>Rudolf-Heß-Gedenkmärsche, Volksverhetzung und die Meinungsfreiheit, NWVBl 2010, 136</w:t>
      </w:r>
      <w:r w:rsidR="00386403">
        <w:t>–</w:t>
      </w:r>
      <w:r w:rsidRPr="002A6221">
        <w:t>139*</w:t>
      </w:r>
    </w:p>
    <w:bookmarkEnd w:id="15"/>
    <w:p w14:paraId="347D8F1D" w14:textId="04DB35FF" w:rsidR="00C15F66" w:rsidRPr="002A6221" w:rsidRDefault="00C15F66" w:rsidP="00C15F66">
      <w:pPr>
        <w:spacing w:after="120"/>
      </w:pPr>
      <w:r w:rsidRPr="002A6221">
        <w:t>Stichtagsbezogene Probleme der Altfallregelung des § 104a AufenthG, ZAR 2009, 259</w:t>
      </w:r>
      <w:r w:rsidR="00386403">
        <w:t>–</w:t>
      </w:r>
      <w:r w:rsidRPr="002A6221">
        <w:t>263*</w:t>
      </w:r>
    </w:p>
    <w:p w14:paraId="172FFFB2" w14:textId="122BB8DE" w:rsidR="00C15F66" w:rsidRPr="002A6221" w:rsidRDefault="00C15F66" w:rsidP="00C15F66">
      <w:pPr>
        <w:spacing w:after="120"/>
      </w:pPr>
      <w:r w:rsidRPr="002A6221">
        <w:t>Die erste bundesrechtliche Altfallregelung in § 104a Aufenthaltsgesetz, ZAR 2008, 130</w:t>
      </w:r>
      <w:r w:rsidR="00386403">
        <w:t>–</w:t>
      </w:r>
      <w:r w:rsidRPr="002A6221">
        <w:t>135*</w:t>
      </w:r>
    </w:p>
    <w:p w14:paraId="1B9D9DFF" w14:textId="77777777" w:rsidR="002A6221" w:rsidRPr="001936F0" w:rsidRDefault="002A6221" w:rsidP="002A6221">
      <w:pPr>
        <w:spacing w:after="120"/>
        <w:rPr>
          <w:b/>
        </w:rPr>
      </w:pPr>
    </w:p>
    <w:p w14:paraId="08C309AB" w14:textId="724739A1" w:rsidR="002A6221" w:rsidRPr="001936F0" w:rsidRDefault="002A6221" w:rsidP="002A6221">
      <w:pPr>
        <w:spacing w:after="120"/>
        <w:rPr>
          <w:b/>
        </w:rPr>
      </w:pPr>
      <w:r w:rsidRPr="001936F0">
        <w:rPr>
          <w:b/>
        </w:rPr>
        <w:t>Entscheidungsbesprechung</w:t>
      </w:r>
      <w:r w:rsidR="00834540">
        <w:rPr>
          <w:b/>
        </w:rPr>
        <w:t>en</w:t>
      </w:r>
    </w:p>
    <w:p w14:paraId="665D9CF8" w14:textId="45726EA6" w:rsidR="00C15F66" w:rsidRPr="00C0374F" w:rsidRDefault="00C15F66" w:rsidP="00C15F66">
      <w:pPr>
        <w:tabs>
          <w:tab w:val="left" w:pos="4860"/>
        </w:tabs>
        <w:spacing w:after="120"/>
      </w:pPr>
      <w:r w:rsidRPr="001936F0">
        <w:t>BVerfG, Beschl. v. 21.7.2022 – 1 BvR 469/20 u.a., JZ 2022, 896</w:t>
      </w:r>
      <w:r w:rsidR="00386403">
        <w:t>–</w:t>
      </w:r>
      <w:r w:rsidRPr="001936F0">
        <w:t>898 (Masernimpfpflicht für Kita-Kinder)</w:t>
      </w:r>
    </w:p>
    <w:p w14:paraId="3D56AA48" w14:textId="045B9EB8" w:rsidR="002A6221" w:rsidRPr="001936F0" w:rsidRDefault="002A6221" w:rsidP="002A6221">
      <w:pPr>
        <w:spacing w:after="120"/>
      </w:pPr>
      <w:r w:rsidRPr="001936F0">
        <w:t>VGH München, Beschl. v. 14.12.2020 – 20 NE 20.2907, NJW 2021, 182</w:t>
      </w:r>
      <w:r w:rsidR="00386403">
        <w:t>–</w:t>
      </w:r>
      <w:r w:rsidRPr="001936F0">
        <w:t>183 (nächtliche Ausgangssperren)</w:t>
      </w:r>
    </w:p>
    <w:p w14:paraId="40CF58BC" w14:textId="77777777" w:rsidR="002A6221" w:rsidRPr="00C0374F" w:rsidRDefault="002A6221" w:rsidP="002A6221">
      <w:pPr>
        <w:spacing w:after="120"/>
      </w:pPr>
    </w:p>
    <w:p w14:paraId="6D8BF032" w14:textId="77777777" w:rsidR="002A6221" w:rsidRPr="002A6221" w:rsidRDefault="002A6221" w:rsidP="002A6221">
      <w:pPr>
        <w:spacing w:after="120"/>
        <w:rPr>
          <w:b/>
        </w:rPr>
      </w:pPr>
      <w:r w:rsidRPr="002A6221">
        <w:rPr>
          <w:b/>
        </w:rPr>
        <w:t>Blogbeiträge, kleine Beiträge</w:t>
      </w:r>
    </w:p>
    <w:p w14:paraId="5C204E2A" w14:textId="3CE08B2D" w:rsidR="0087238C" w:rsidRPr="0087238C" w:rsidRDefault="0087238C" w:rsidP="0087238C">
      <w:pPr>
        <w:spacing w:after="120"/>
        <w:rPr>
          <w:bCs/>
        </w:rPr>
      </w:pPr>
      <w:r w:rsidRPr="0087238C">
        <w:rPr>
          <w:bCs/>
        </w:rPr>
        <w:t>Wie kann ein gutes Epidemiegesetz</w:t>
      </w:r>
      <w:r>
        <w:rPr>
          <w:bCs/>
        </w:rPr>
        <w:t xml:space="preserve"> aussehen? Wenn die nächste Pan</w:t>
      </w:r>
      <w:r w:rsidRPr="0087238C">
        <w:rPr>
          <w:bCs/>
        </w:rPr>
        <w:t>demie kommt</w:t>
      </w:r>
      <w:r>
        <w:rPr>
          <w:bCs/>
        </w:rPr>
        <w:t xml:space="preserve">, </w:t>
      </w:r>
      <w:hyperlink r:id="rId10" w:history="1">
        <w:r w:rsidRPr="0087238C">
          <w:rPr>
            <w:rStyle w:val="Hyperlink"/>
            <w:bCs/>
          </w:rPr>
          <w:t>lto. v. 23.3.2023</w:t>
        </w:r>
      </w:hyperlink>
      <w:r>
        <w:rPr>
          <w:bCs/>
        </w:rPr>
        <w:t xml:space="preserve"> (zusammen mit Johannes Gallon und Anna-Lena Hollo)</w:t>
      </w:r>
    </w:p>
    <w:p w14:paraId="72A0F274" w14:textId="4AA28EAA" w:rsidR="00C15F66" w:rsidRDefault="00C15F66" w:rsidP="0087238C">
      <w:pPr>
        <w:spacing w:after="120"/>
        <w:rPr>
          <w:bCs/>
        </w:rPr>
      </w:pPr>
      <w:r w:rsidRPr="0087238C">
        <w:rPr>
          <w:bCs/>
        </w:rPr>
        <w:t>S</w:t>
      </w:r>
      <w:r w:rsidRPr="002A6221">
        <w:rPr>
          <w:bCs/>
        </w:rPr>
        <w:t xml:space="preserve">chulschließung ist nicht gleich Schulschließung, </w:t>
      </w:r>
      <w:hyperlink r:id="rId11" w:history="1">
        <w:r w:rsidRPr="002A6221">
          <w:rPr>
            <w:rStyle w:val="Hyperlink"/>
            <w:bCs/>
          </w:rPr>
          <w:t>Verfassungsblog v. 13.12.2021</w:t>
        </w:r>
      </w:hyperlink>
      <w:r w:rsidRPr="002A6221">
        <w:rPr>
          <w:bCs/>
        </w:rPr>
        <w:t xml:space="preserve"> </w:t>
      </w:r>
    </w:p>
    <w:p w14:paraId="6CF37D90" w14:textId="77777777" w:rsidR="00C15F66" w:rsidRPr="002A6221" w:rsidRDefault="00C15F66" w:rsidP="00C15F66">
      <w:pPr>
        <w:spacing w:after="120"/>
        <w:rPr>
          <w:bCs/>
        </w:rPr>
      </w:pPr>
      <w:r w:rsidRPr="002A6221">
        <w:rPr>
          <w:bCs/>
        </w:rPr>
        <w:t>Verantwortungs-Ping-Pong zwischen Bund und Ländern, Editorial, ZRP Heft 8/2021</w:t>
      </w:r>
    </w:p>
    <w:p w14:paraId="0159F887" w14:textId="77777777" w:rsidR="00C15F66" w:rsidRPr="002A6221" w:rsidRDefault="00C15F66" w:rsidP="00C15F66">
      <w:pPr>
        <w:spacing w:after="120"/>
        <w:rPr>
          <w:bCs/>
        </w:rPr>
      </w:pPr>
      <w:r w:rsidRPr="002A6221">
        <w:rPr>
          <w:bCs/>
        </w:rPr>
        <w:t xml:space="preserve">Die Konstruktionsfehler des § 28a IfSG. Warum die zentrale Norm der Epidemiebekämpfung überarbeitet werden muss, </w:t>
      </w:r>
      <w:hyperlink r:id="rId12" w:history="1">
        <w:r w:rsidRPr="002A6221">
          <w:rPr>
            <w:rStyle w:val="Hyperlink"/>
            <w:bCs/>
          </w:rPr>
          <w:t>Verfassungsblog v. 4.8.2021</w:t>
        </w:r>
      </w:hyperlink>
    </w:p>
    <w:p w14:paraId="57A5E527" w14:textId="77777777" w:rsidR="00C15F66" w:rsidRPr="002A6221" w:rsidRDefault="00C15F66" w:rsidP="00C15F66">
      <w:pPr>
        <w:spacing w:after="120"/>
        <w:rPr>
          <w:bCs/>
        </w:rPr>
      </w:pPr>
      <w:r w:rsidRPr="002A6221">
        <w:rPr>
          <w:bCs/>
        </w:rPr>
        <w:t xml:space="preserve">Keine Priorität für die Rechtswissenschaft. Als Rechtsgrundlage einer Impfpriorisierung dürfte die Corona-Impfverordnung vor den Verwaltungsgerichten schwerlich Bestand haben, </w:t>
      </w:r>
      <w:hyperlink r:id="rId13" w:history="1">
        <w:r w:rsidRPr="002A6221">
          <w:rPr>
            <w:rStyle w:val="Hyperlink"/>
            <w:bCs/>
          </w:rPr>
          <w:t>Verfassungsblog v. 2.2.2021</w:t>
        </w:r>
      </w:hyperlink>
      <w:r w:rsidRPr="002A6221">
        <w:rPr>
          <w:bCs/>
        </w:rPr>
        <w:t xml:space="preserve"> (zusammen mit Thorsten Kingreen und Anna Leisner-Egensperger)</w:t>
      </w:r>
    </w:p>
    <w:p w14:paraId="68ABA5EB" w14:textId="77777777" w:rsidR="00C15F66" w:rsidRPr="002A6221" w:rsidRDefault="00C15F66" w:rsidP="00C15F66">
      <w:pPr>
        <w:spacing w:after="120"/>
        <w:rPr>
          <w:bCs/>
        </w:rPr>
      </w:pPr>
      <w:r w:rsidRPr="002A6221">
        <w:rPr>
          <w:bCs/>
        </w:rPr>
        <w:t xml:space="preserve">Bald wird geimpft – Darf zwischen Geimpften und Ungeimpften differenziert werden?, </w:t>
      </w:r>
      <w:hyperlink r:id="rId14" w:history="1">
        <w:r w:rsidRPr="002A6221">
          <w:rPr>
            <w:rStyle w:val="Hyperlink"/>
            <w:bCs/>
          </w:rPr>
          <w:t>Verfassungsblog v. 16.12.2020</w:t>
        </w:r>
      </w:hyperlink>
      <w:r w:rsidRPr="002A6221">
        <w:rPr>
          <w:bCs/>
        </w:rPr>
        <w:t xml:space="preserve"> (zusammen mit Dirk Müllmann)</w:t>
      </w:r>
    </w:p>
    <w:p w14:paraId="23042D4B" w14:textId="77777777" w:rsidR="00C15F66" w:rsidRPr="002A6221" w:rsidRDefault="00C15F66" w:rsidP="00C15F66">
      <w:pPr>
        <w:spacing w:after="120"/>
        <w:rPr>
          <w:bCs/>
        </w:rPr>
      </w:pPr>
      <w:r w:rsidRPr="002A6221">
        <w:rPr>
          <w:bCs/>
        </w:rPr>
        <w:t xml:space="preserve">Was verlangen Parlamentsvorbehalt und Bestimmtheitsgebot? Standardmaßnahmen im Infektionsschutzgesetz, </w:t>
      </w:r>
      <w:hyperlink r:id="rId15" w:history="1">
        <w:r w:rsidRPr="002A6221">
          <w:rPr>
            <w:rStyle w:val="Hyperlink"/>
            <w:bCs/>
          </w:rPr>
          <w:t>Verfassungsblog v. 4.11.2020</w:t>
        </w:r>
      </w:hyperlink>
      <w:r w:rsidRPr="002A6221">
        <w:rPr>
          <w:bCs/>
        </w:rPr>
        <w:t xml:space="preserve"> </w:t>
      </w:r>
    </w:p>
    <w:p w14:paraId="10BF767C" w14:textId="77777777" w:rsidR="00C15F66" w:rsidRPr="002A6221" w:rsidRDefault="00C15F66" w:rsidP="00C15F66">
      <w:pPr>
        <w:spacing w:after="120"/>
        <w:rPr>
          <w:bCs/>
          <w:u w:val="single"/>
        </w:rPr>
      </w:pPr>
      <w:r w:rsidRPr="002A6221">
        <w:rPr>
          <w:bCs/>
        </w:rPr>
        <w:t xml:space="preserve">Offene Fragen der (Massen)Quarantäne, </w:t>
      </w:r>
      <w:hyperlink r:id="rId16" w:history="1">
        <w:r w:rsidRPr="002A6221">
          <w:rPr>
            <w:rStyle w:val="Hyperlink"/>
            <w:bCs/>
          </w:rPr>
          <w:t>Verfassungsblog v. 2.7.2020</w:t>
        </w:r>
      </w:hyperlink>
    </w:p>
    <w:p w14:paraId="1E5F139F" w14:textId="31352A75" w:rsidR="00C15F66" w:rsidRPr="002A6221" w:rsidRDefault="00C15F66" w:rsidP="00C15F66">
      <w:pPr>
        <w:spacing w:after="120"/>
        <w:rPr>
          <w:u w:val="single"/>
        </w:rPr>
      </w:pPr>
      <w:r w:rsidRPr="002A6221">
        <w:t xml:space="preserve">Rechtssicherheit und Rechtsklarheit bei Ausgangssperren &amp; Co? Zur geplanten minimalinvasiven Änderung des § 28 I IfSG, </w:t>
      </w:r>
      <w:hyperlink r:id="rId17" w:history="1">
        <w:r w:rsidRPr="002A6221">
          <w:rPr>
            <w:rStyle w:val="Hyperlink"/>
          </w:rPr>
          <w:t>JuWissBlog v. 24.3.2020</w:t>
        </w:r>
      </w:hyperlink>
    </w:p>
    <w:p w14:paraId="137D672C" w14:textId="77777777" w:rsidR="00C15F66" w:rsidRPr="002A6221" w:rsidRDefault="00C15F66" w:rsidP="00C15F66">
      <w:pPr>
        <w:spacing w:after="120"/>
      </w:pPr>
      <w:r w:rsidRPr="002A6221">
        <w:t xml:space="preserve">Fighting COVID 19 – Legal Powers and Risks Germany, </w:t>
      </w:r>
      <w:hyperlink r:id="rId18" w:history="1">
        <w:r w:rsidRPr="002A6221">
          <w:rPr>
            <w:rStyle w:val="Hyperlink"/>
          </w:rPr>
          <w:t>Verfassungsblog v. 20.3.2020</w:t>
        </w:r>
      </w:hyperlink>
      <w:r w:rsidRPr="002A6221">
        <w:t xml:space="preserve"> (zusammen mit Anika Klafki)</w:t>
      </w:r>
    </w:p>
    <w:p w14:paraId="3601385A" w14:textId="77777777" w:rsidR="00C15F66" w:rsidRDefault="00C15F66" w:rsidP="00C15F66">
      <w:pPr>
        <w:spacing w:after="120"/>
        <w:rPr>
          <w:rStyle w:val="Hyperlink"/>
        </w:rPr>
      </w:pPr>
      <w:r w:rsidRPr="002A6221">
        <w:t xml:space="preserve">Ausgangssperren wegen Corona nun auch in Deutschland (?), </w:t>
      </w:r>
      <w:hyperlink r:id="rId19" w:history="1">
        <w:r w:rsidRPr="002A6221">
          <w:rPr>
            <w:rStyle w:val="Hyperlink"/>
          </w:rPr>
          <w:t>JuWissBlog v. 19.3.2020</w:t>
        </w:r>
      </w:hyperlink>
    </w:p>
    <w:p w14:paraId="04BDFA9A" w14:textId="25A13F2C" w:rsidR="00C15F66" w:rsidRPr="002A6221" w:rsidRDefault="00C15F66" w:rsidP="00C15F66">
      <w:pPr>
        <w:spacing w:after="120"/>
      </w:pPr>
      <w:r w:rsidRPr="002A6221">
        <w:t xml:space="preserve">Coronavirus, Masern und die Grundrechte, </w:t>
      </w:r>
      <w:hyperlink r:id="rId20" w:history="1">
        <w:r w:rsidRPr="002A6221">
          <w:rPr>
            <w:rStyle w:val="Hyperlink"/>
          </w:rPr>
          <w:t>Verfassungsblog v. 2.3.2020</w:t>
        </w:r>
      </w:hyperlink>
    </w:p>
    <w:p w14:paraId="157C0FEE" w14:textId="77777777" w:rsidR="00C15F66" w:rsidRPr="002A6221" w:rsidRDefault="00C15F66" w:rsidP="00C15F66">
      <w:pPr>
        <w:spacing w:after="120"/>
        <w:rPr>
          <w:u w:val="single"/>
        </w:rPr>
      </w:pPr>
      <w:r w:rsidRPr="002A6221">
        <w:t xml:space="preserve">Abwägung im Tatbestand – oder: zwingende Ausweisung für alle, </w:t>
      </w:r>
      <w:hyperlink r:id="rId21" w:history="1">
        <w:r w:rsidRPr="002A6221">
          <w:rPr>
            <w:rStyle w:val="Hyperlink"/>
          </w:rPr>
          <w:t>JuWissBlog v. 23.3.2015</w:t>
        </w:r>
      </w:hyperlink>
      <w:r w:rsidRPr="002A6221">
        <w:t xml:space="preserve">; siehe dazu auch </w:t>
      </w:r>
      <w:hyperlink r:id="rId22" w:history="1">
        <w:r w:rsidRPr="002A6221">
          <w:rPr>
            <w:rStyle w:val="Hyperlink"/>
          </w:rPr>
          <w:t>JuWissBlog v. 27.3.2015</w:t>
        </w:r>
      </w:hyperlink>
    </w:p>
    <w:p w14:paraId="0DDB4493" w14:textId="77777777" w:rsidR="002A6221" w:rsidRPr="002A6221" w:rsidRDefault="002A6221" w:rsidP="002A6221">
      <w:pPr>
        <w:spacing w:after="120"/>
        <w:rPr>
          <w:u w:val="single"/>
        </w:rPr>
      </w:pPr>
      <w:r w:rsidRPr="002A6221">
        <w:t xml:space="preserve">Warum lieber Verwaltungsprozessrechtler als Strafrechtler das Ausweisungsrecht reformieren sollten, </w:t>
      </w:r>
      <w:hyperlink r:id="rId23" w:history="1">
        <w:r w:rsidRPr="002A6221">
          <w:rPr>
            <w:rStyle w:val="Hyperlink"/>
          </w:rPr>
          <w:t>JuWissBlog v. 4.12.2014</w:t>
        </w:r>
      </w:hyperlink>
    </w:p>
    <w:p w14:paraId="2E811670" w14:textId="77777777" w:rsidR="00C15F66" w:rsidRPr="002A6221" w:rsidRDefault="00C15F66" w:rsidP="00C15F66">
      <w:pPr>
        <w:spacing w:after="120"/>
        <w:rPr>
          <w:u w:val="single"/>
        </w:rPr>
      </w:pPr>
      <w:r w:rsidRPr="002A6221">
        <w:t>Modernisierung durch Verschärfung? Erste Überlegungen zur geplanten Reform des Auswe</w:t>
      </w:r>
      <w:r>
        <w:t>isungs</w:t>
      </w:r>
      <w:r w:rsidRPr="002A6221">
        <w:t xml:space="preserve">rechts, </w:t>
      </w:r>
      <w:hyperlink r:id="rId24" w:history="1">
        <w:r w:rsidRPr="002A6221">
          <w:rPr>
            <w:rStyle w:val="Hyperlink"/>
          </w:rPr>
          <w:t>JuWissBlog v. 27.5.2014</w:t>
        </w:r>
      </w:hyperlink>
    </w:p>
    <w:p w14:paraId="3BC5A80C" w14:textId="77777777" w:rsidR="00C15F66" w:rsidRPr="002A6221" w:rsidRDefault="00C15F66" w:rsidP="00C15F66">
      <w:pPr>
        <w:spacing w:after="120"/>
      </w:pPr>
      <w:r w:rsidRPr="002A6221">
        <w:t xml:space="preserve">Das Recht auf Kenntnis der eigenen Abstammung. Überlegungen anlässlich eines Urteils des OLG Hamm zur Samenspende und eines Gesetzentwurfs zur vertraulichen Geburt, </w:t>
      </w:r>
      <w:hyperlink r:id="rId25" w:history="1">
        <w:r w:rsidRPr="002A6221">
          <w:rPr>
            <w:rStyle w:val="Hyperlink"/>
          </w:rPr>
          <w:t>JuWissBlog v. 18.6.2013</w:t>
        </w:r>
      </w:hyperlink>
    </w:p>
    <w:p w14:paraId="7405A4AD" w14:textId="72621E32" w:rsidR="00C0374F" w:rsidRDefault="00C0374F" w:rsidP="00325DC0">
      <w:pPr>
        <w:spacing w:after="120"/>
        <w:rPr>
          <w:b/>
        </w:rPr>
      </w:pPr>
    </w:p>
    <w:p w14:paraId="392D481F" w14:textId="77777777" w:rsidR="00224785" w:rsidRDefault="00224785" w:rsidP="00325DC0">
      <w:pPr>
        <w:spacing w:after="120"/>
        <w:rPr>
          <w:b/>
        </w:rPr>
      </w:pPr>
    </w:p>
    <w:p w14:paraId="58B82BD2" w14:textId="77777777" w:rsidR="0087238C" w:rsidRDefault="0087238C">
      <w:pPr>
        <w:spacing w:line="240" w:lineRule="auto"/>
        <w:rPr>
          <w:b/>
        </w:rPr>
      </w:pPr>
      <w:r>
        <w:rPr>
          <w:b/>
        </w:rPr>
        <w:br w:type="page"/>
      </w:r>
    </w:p>
    <w:p w14:paraId="34B1E44C" w14:textId="5346A86C" w:rsidR="002A6221" w:rsidRPr="002A6221" w:rsidRDefault="002A6221" w:rsidP="002A6221">
      <w:pPr>
        <w:spacing w:after="120"/>
        <w:rPr>
          <w:b/>
        </w:rPr>
      </w:pPr>
      <w:r w:rsidRPr="002A6221">
        <w:rPr>
          <w:b/>
        </w:rPr>
        <w:lastRenderedPageBreak/>
        <w:t>Rezensionen</w:t>
      </w:r>
    </w:p>
    <w:p w14:paraId="43752C23" w14:textId="7CFF31FF" w:rsidR="00386403" w:rsidRPr="00C870AB" w:rsidRDefault="00386403" w:rsidP="00386403">
      <w:pPr>
        <w:spacing w:after="120"/>
      </w:pPr>
      <w:r w:rsidRPr="00C870AB">
        <w:t>Katharina Bode, Das neue Ausweisungsrecht, Baden-Baden 2020, ZAR 2021, 335</w:t>
      </w:r>
      <w:r>
        <w:t>–</w:t>
      </w:r>
      <w:r w:rsidRPr="00C870AB">
        <w:t>337</w:t>
      </w:r>
    </w:p>
    <w:p w14:paraId="7338BDC3" w14:textId="4A3E28DD" w:rsidR="00386403" w:rsidRPr="00C870AB" w:rsidRDefault="00386403" w:rsidP="00386403">
      <w:pPr>
        <w:spacing w:after="120"/>
      </w:pPr>
      <w:r w:rsidRPr="002A6221">
        <w:t xml:space="preserve">„Migration und Sozialstaat“, Tagungsband zur Sozialrechtslehrertagung 2018 vom 28. </w:t>
      </w:r>
      <w:r w:rsidRPr="00C870AB">
        <w:t>Februar 2018 bis 1. März 2018 in Speyer, Berlin 2018, VSSR 2018, 395</w:t>
      </w:r>
      <w:r>
        <w:t>–</w:t>
      </w:r>
      <w:r w:rsidRPr="00C870AB">
        <w:t>401</w:t>
      </w:r>
    </w:p>
    <w:p w14:paraId="0D7DC986" w14:textId="2B60898B" w:rsidR="00224785" w:rsidRDefault="00386403" w:rsidP="0087238C">
      <w:pPr>
        <w:spacing w:after="120"/>
      </w:pPr>
      <w:r w:rsidRPr="002A6221">
        <w:rPr>
          <w:lang w:val="en-GB"/>
        </w:rPr>
        <w:t>Julia Wojnowska-Radzińska, The Right of an Alien to be Protected against Arbitrary Expulsion in International Law, 2015, ZAR 2015, 406</w:t>
      </w:r>
      <w:r>
        <w:t>–</w:t>
      </w:r>
      <w:r w:rsidRPr="002A6221">
        <w:rPr>
          <w:lang w:val="en-GB"/>
        </w:rPr>
        <w:t>407</w:t>
      </w:r>
    </w:p>
    <w:p w14:paraId="278FF4AE" w14:textId="35B7BEEE" w:rsidR="002A6221" w:rsidRPr="00C870AB" w:rsidRDefault="002A6221" w:rsidP="002A6221">
      <w:pPr>
        <w:spacing w:after="120"/>
        <w:rPr>
          <w:lang w:val="en-US"/>
        </w:rPr>
      </w:pPr>
      <w:r w:rsidRPr="002A6221">
        <w:t xml:space="preserve">Dirk Ehlers/Michael Fehling/Hermann Pünder (Hrsg.), Besonderes Verwaltungsrecht, Bd. III: Kommunalrecht, Haushalts- und Abgabenrecht, Ordnungsrecht, Sozialrecht, Bildungsrecht, Recht des öffentlichen Dienstes, </w:t>
      </w:r>
      <w:r w:rsidR="00325DC0">
        <w:br/>
      </w:r>
      <w:r w:rsidRPr="002A6221">
        <w:t xml:space="preserve">3. </w:t>
      </w:r>
      <w:r w:rsidRPr="00C870AB">
        <w:rPr>
          <w:lang w:val="en-US"/>
        </w:rPr>
        <w:t>Aufl. 2013, DVBl 2014, 638</w:t>
      </w:r>
    </w:p>
    <w:p w14:paraId="2294C4E4" w14:textId="3B562CFF" w:rsidR="002A6221" w:rsidRDefault="002A6221" w:rsidP="002A6221">
      <w:pPr>
        <w:spacing w:after="120"/>
      </w:pPr>
    </w:p>
    <w:p w14:paraId="7408FD7D" w14:textId="77777777" w:rsidR="00224785" w:rsidRPr="00C870AB" w:rsidRDefault="00224785" w:rsidP="002A6221">
      <w:pPr>
        <w:spacing w:after="120"/>
      </w:pPr>
    </w:p>
    <w:p w14:paraId="40523479" w14:textId="77777777" w:rsidR="002A6221" w:rsidRPr="002A6221" w:rsidRDefault="002A6221" w:rsidP="002A6221">
      <w:pPr>
        <w:spacing w:after="120"/>
        <w:rPr>
          <w:b/>
          <w:bCs/>
        </w:rPr>
      </w:pPr>
      <w:r w:rsidRPr="002A6221">
        <w:rPr>
          <w:b/>
          <w:bCs/>
        </w:rPr>
        <w:t>Tagungsbericht</w:t>
      </w:r>
    </w:p>
    <w:p w14:paraId="16BECDFA" w14:textId="7B258665" w:rsidR="00802DEC" w:rsidRDefault="002A6221" w:rsidP="002A6221">
      <w:pPr>
        <w:spacing w:after="120"/>
      </w:pPr>
      <w:r w:rsidRPr="002A6221">
        <w:t>„Integration – Partizipation – Assimilation? Gesellschaftspolitische Ansprüche im Migrationsrecht“. Bericht über die 5. Herbsttagung des Netzwerks Migrationsrecht vom 11. bis 13. November 2011 in Stuttgart-Hohenheim, ZAR 2012, 65</w:t>
      </w:r>
      <w:r w:rsidR="00386403">
        <w:t>–</w:t>
      </w:r>
      <w:r w:rsidRPr="002A6221">
        <w:t xml:space="preserve">71* </w:t>
      </w:r>
    </w:p>
    <w:p w14:paraId="1516AED8" w14:textId="77777777" w:rsidR="00386403" w:rsidRDefault="00386403" w:rsidP="002A6221">
      <w:pPr>
        <w:spacing w:after="120"/>
      </w:pPr>
    </w:p>
    <w:p w14:paraId="388844B6" w14:textId="77777777" w:rsidR="00766438" w:rsidRDefault="00766438" w:rsidP="002A6221">
      <w:pPr>
        <w:spacing w:after="120"/>
      </w:pPr>
    </w:p>
    <w:p w14:paraId="44F0C887" w14:textId="77777777" w:rsidR="002A6221" w:rsidRPr="00766438" w:rsidRDefault="002A6221" w:rsidP="002A6221">
      <w:pPr>
        <w:tabs>
          <w:tab w:val="left" w:pos="2268"/>
          <w:tab w:val="left" w:pos="2340"/>
          <w:tab w:val="left" w:pos="4860"/>
        </w:tabs>
        <w:spacing w:after="120"/>
        <w:rPr>
          <w:i/>
          <w:iCs/>
        </w:rPr>
      </w:pPr>
      <w:r w:rsidRPr="00766438">
        <w:rPr>
          <w:i/>
          <w:iCs/>
        </w:rPr>
        <w:t>Mit * gekennzeichnete Veröffentlichungen sind unter dem Geburtsnamen Kirsch erschienen.</w:t>
      </w:r>
    </w:p>
    <w:p w14:paraId="7410D60E" w14:textId="77777777" w:rsidR="002A6221" w:rsidRPr="00A730F0" w:rsidRDefault="002A6221" w:rsidP="002A6221">
      <w:pPr>
        <w:spacing w:after="120"/>
      </w:pPr>
    </w:p>
    <w:sectPr w:rsidR="002A6221" w:rsidRPr="00A730F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3515" w:bottom="1134" w:left="1134" w:header="624" w:footer="39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1BAAB" w14:textId="77777777" w:rsidR="00B106ED" w:rsidRDefault="00B106ED" w:rsidP="00D37BDD">
      <w:r>
        <w:separator/>
      </w:r>
    </w:p>
  </w:endnote>
  <w:endnote w:type="continuationSeparator" w:id="0">
    <w:p w14:paraId="548F050F" w14:textId="77777777" w:rsidR="00B106ED" w:rsidRDefault="00B106ED" w:rsidP="00D3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idien Roman">
    <w:altName w:val="Cambria"/>
    <w:charset w:val="00"/>
    <w:family w:val="roman"/>
    <w:pitch w:val="variable"/>
    <w:sig w:usb0="A000002F" w:usb1="4000004A" w:usb2="00000000" w:usb3="00000000" w:csb0="0000011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1264D" w14:textId="77777777" w:rsidR="00F818B5" w:rsidRDefault="00F818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8233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6C70D3B" w14:textId="71B161CD" w:rsidR="00035728" w:rsidRPr="00035728" w:rsidRDefault="00035728" w:rsidP="00D37BDD">
            <w:pPr>
              <w:pStyle w:val="Pagina"/>
            </w:pPr>
            <w:r w:rsidRPr="00035728">
              <w:t xml:space="preserve">Seite </w:t>
            </w:r>
            <w:r w:rsidRPr="00035728">
              <w:fldChar w:fldCharType="begin"/>
            </w:r>
            <w:r w:rsidRPr="00035728">
              <w:instrText>PAGE</w:instrText>
            </w:r>
            <w:r w:rsidRPr="00035728">
              <w:fldChar w:fldCharType="separate"/>
            </w:r>
            <w:r w:rsidR="0087238C">
              <w:t>6</w:t>
            </w:r>
            <w:r w:rsidRPr="00035728">
              <w:fldChar w:fldCharType="end"/>
            </w:r>
            <w:r w:rsidRPr="00035728">
              <w:t xml:space="preserve"> von </w:t>
            </w:r>
            <w:r w:rsidRPr="00035728">
              <w:fldChar w:fldCharType="begin"/>
            </w:r>
            <w:r w:rsidRPr="00035728">
              <w:instrText>NUMPAGES</w:instrText>
            </w:r>
            <w:r w:rsidRPr="00035728">
              <w:fldChar w:fldCharType="separate"/>
            </w:r>
            <w:r w:rsidR="0087238C">
              <w:t>7</w:t>
            </w:r>
            <w:r w:rsidRPr="00035728">
              <w:fldChar w:fldCharType="end"/>
            </w:r>
          </w:p>
        </w:sdtContent>
      </w:sdt>
    </w:sdtContent>
  </w:sdt>
  <w:p w14:paraId="0D535226" w14:textId="77777777" w:rsidR="007F79D8" w:rsidRDefault="007F79D8" w:rsidP="00D37B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670484"/>
      <w:docPartObj>
        <w:docPartGallery w:val="Page Numbers (Bottom of Page)"/>
        <w:docPartUnique/>
      </w:docPartObj>
    </w:sdtPr>
    <w:sdtEndPr/>
    <w:sdtContent>
      <w:sdt>
        <w:sdtPr>
          <w:id w:val="630211979"/>
          <w:docPartObj>
            <w:docPartGallery w:val="Page Numbers (Top of Page)"/>
            <w:docPartUnique/>
          </w:docPartObj>
        </w:sdtPr>
        <w:sdtEndPr/>
        <w:sdtContent>
          <w:p w14:paraId="36A15708" w14:textId="01A63494" w:rsidR="00035728" w:rsidRPr="005807FF" w:rsidRDefault="00035728" w:rsidP="00D37BDD">
            <w:pPr>
              <w:pStyle w:val="Pagina"/>
            </w:pPr>
            <w:r w:rsidRPr="005807FF">
              <w:t xml:space="preserve">Seite </w:t>
            </w:r>
            <w:r w:rsidRPr="005807FF">
              <w:fldChar w:fldCharType="begin"/>
            </w:r>
            <w:r w:rsidRPr="005807FF">
              <w:instrText>PAGE</w:instrText>
            </w:r>
            <w:r w:rsidRPr="005807FF">
              <w:fldChar w:fldCharType="separate"/>
            </w:r>
            <w:r w:rsidR="0087238C">
              <w:t>1</w:t>
            </w:r>
            <w:r w:rsidRPr="005807FF">
              <w:fldChar w:fldCharType="end"/>
            </w:r>
            <w:r w:rsidRPr="005807FF">
              <w:t xml:space="preserve"> von </w:t>
            </w:r>
            <w:r w:rsidRPr="005807FF">
              <w:fldChar w:fldCharType="begin"/>
            </w:r>
            <w:r w:rsidRPr="005807FF">
              <w:instrText>NUMPAGES</w:instrText>
            </w:r>
            <w:r w:rsidRPr="005807FF">
              <w:fldChar w:fldCharType="separate"/>
            </w:r>
            <w:r w:rsidR="0087238C">
              <w:t>7</w:t>
            </w:r>
            <w:r w:rsidRPr="005807FF">
              <w:fldChar w:fldCharType="end"/>
            </w:r>
          </w:p>
        </w:sdtContent>
      </w:sdt>
    </w:sdtContent>
  </w:sdt>
  <w:p w14:paraId="66949802" w14:textId="77777777" w:rsidR="007F79D8" w:rsidRDefault="007F79D8" w:rsidP="00D37B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6686D" w14:textId="77777777" w:rsidR="00B106ED" w:rsidRDefault="00B106ED" w:rsidP="00D37BDD">
      <w:r>
        <w:separator/>
      </w:r>
    </w:p>
  </w:footnote>
  <w:footnote w:type="continuationSeparator" w:id="0">
    <w:p w14:paraId="36FE1354" w14:textId="77777777" w:rsidR="00B106ED" w:rsidRDefault="00B106ED" w:rsidP="00D37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6A5EE" w14:textId="77777777" w:rsidR="00F818B5" w:rsidRDefault="00F818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F46E1" w14:textId="77777777" w:rsidR="007F79D8" w:rsidRDefault="00B8024C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eastAsia="x-none" w:bidi="x-none"/>
      </w:rPr>
    </w:pPr>
    <w:r>
      <w:rPr>
        <w:noProof/>
        <w:lang w:eastAsia="de-DE"/>
      </w:rPr>
      <w:drawing>
        <wp:anchor distT="0" distB="0" distL="114935" distR="114935" simplePos="0" relativeHeight="251659264" behindDoc="0" locked="0" layoutInCell="1" allowOverlap="1" wp14:anchorId="7BF4EFD2" wp14:editId="7EA14F02">
          <wp:simplePos x="0" y="0"/>
          <wp:positionH relativeFrom="page">
            <wp:posOffset>5760720</wp:posOffset>
          </wp:positionH>
          <wp:positionV relativeFrom="page">
            <wp:posOffset>540385</wp:posOffset>
          </wp:positionV>
          <wp:extent cx="1259205" cy="68961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689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17B0A" w14:textId="77777777" w:rsidR="007F79D8" w:rsidRDefault="00035728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eastAsia="x-none" w:bidi="x-none"/>
      </w:rPr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0D610C85" wp14:editId="5F2A097B">
              <wp:simplePos x="0" y="0"/>
              <wp:positionH relativeFrom="page">
                <wp:posOffset>5762625</wp:posOffset>
              </wp:positionH>
              <wp:positionV relativeFrom="page">
                <wp:posOffset>3990975</wp:posOffset>
              </wp:positionV>
              <wp:extent cx="1463675" cy="3817620"/>
              <wp:effectExtent l="0" t="0" r="22225" b="11430"/>
              <wp:wrapTight wrapText="bothSides">
                <wp:wrapPolygon edited="0">
                  <wp:start x="0" y="0"/>
                  <wp:lineTo x="0" y="21557"/>
                  <wp:lineTo x="21647" y="21557"/>
                  <wp:lineTo x="21647" y="0"/>
                  <wp:lineTo x="0" y="0"/>
                </wp:wrapPolygon>
              </wp:wrapTight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675" cy="3817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3DD92B" w14:textId="1533EDE6" w:rsidR="00035728" w:rsidRPr="00A730F0" w:rsidRDefault="00035728" w:rsidP="002D6487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</w:pPr>
                          <w:r w:rsidRPr="00A730F0"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  <w:t xml:space="preserve">Fachbereich </w:t>
                          </w:r>
                          <w:r w:rsidR="00F818B5"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  <w:t>Rechtswissenschaft</w:t>
                          </w:r>
                        </w:p>
                        <w:p w14:paraId="5EC8916C" w14:textId="77777777" w:rsidR="00035728" w:rsidRPr="00A730F0" w:rsidRDefault="00035728" w:rsidP="002D6487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</w:pPr>
                        </w:p>
                        <w:p w14:paraId="4F7FCCDA" w14:textId="423CA580" w:rsidR="00035728" w:rsidRPr="00A730F0" w:rsidRDefault="00F818B5" w:rsidP="002D6487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  <w:t xml:space="preserve">Professur für Öffentliches Recht </w:t>
                          </w:r>
                          <w:r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  <w:br/>
                            <w:t>mit Schwerpunkt Sozialrecht</w:t>
                          </w:r>
                        </w:p>
                        <w:p w14:paraId="3551478E" w14:textId="77777777" w:rsidR="00035728" w:rsidRPr="00A730F0" w:rsidRDefault="00035728" w:rsidP="002D6487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14:paraId="0A32DFB1" w14:textId="77777777" w:rsidR="00035728" w:rsidRPr="00A730F0" w:rsidRDefault="00035728" w:rsidP="002D6487">
                          <w:pPr>
                            <w:pStyle w:val="LeerzeileAbsender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14:paraId="5CBC3941" w14:textId="443DA5B8" w:rsidR="00035728" w:rsidRPr="00A730F0" w:rsidRDefault="00035728" w:rsidP="002D6487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</w:pPr>
                          <w:r w:rsidRPr="00A730F0"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 xml:space="preserve">Prof. Dr. </w:t>
                          </w:r>
                          <w:r w:rsidR="00F818B5"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Andrea Kießling</w:t>
                          </w:r>
                        </w:p>
                        <w:p w14:paraId="3BED560B" w14:textId="77777777" w:rsidR="00035728" w:rsidRPr="00A730F0" w:rsidRDefault="00035728" w:rsidP="002D6487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14:paraId="1B0ABF43" w14:textId="654C98E2" w:rsidR="007C0B10" w:rsidRDefault="007C0B10" w:rsidP="001A604C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100" w:line="20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Besucheradresse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="00663CC1"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 xml:space="preserve">Campus Westend </w:t>
                          </w:r>
                          <w:r w:rsidR="00663CC1" w:rsidRPr="00663CC1"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|</w:t>
                          </w:r>
                          <w:r w:rsidR="00663CC1"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="007355E6"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IKB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-Gebäude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bookmarkStart w:id="16" w:name="_Hlk102141806"/>
                          <w:r w:rsidR="007355E6" w:rsidRPr="007355E6"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Eschersheimer Landstraße 121</w:t>
                          </w:r>
                          <w:bookmarkEnd w:id="16"/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br/>
                            <w:t>60</w:t>
                          </w:r>
                          <w:r w:rsidR="007355E6"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322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 xml:space="preserve"> Frankfurt am Main</w:t>
                          </w:r>
                        </w:p>
                        <w:p w14:paraId="065829F6" w14:textId="77777777" w:rsidR="007C0B10" w:rsidRDefault="007C0B10" w:rsidP="001A604C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567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100" w:line="200" w:lineRule="exact"/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Postadresse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br/>
                            <w:t>60629 Frankfurt am Main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br/>
                            <w:t>Germany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7F4E73D1" w14:textId="580477A8" w:rsidR="00035728" w:rsidRPr="00A730F0" w:rsidRDefault="007355E6" w:rsidP="001A604C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567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</w:tabs>
                            <w:spacing w:after="100" w:line="200" w:lineRule="exact"/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>kiessling</w:t>
                          </w:r>
                          <w:r w:rsidR="007C0B10"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>@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>jur</w:t>
                          </w:r>
                          <w:r w:rsidR="007C0B10"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>.uni-frankfurt.de</w:t>
                          </w:r>
                          <w:r w:rsidR="007C0B10"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br/>
                            <w:t>www.uni-frankfurt.de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10C8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53.75pt;margin-top:314.25pt;width:115.25pt;height:300.6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" strokecolor="white" strokeweight=".5pt">
              <v:textbox inset=".25pt,.25pt,.25pt,.25pt">
                <w:txbxContent>
                  <w:p w14:paraId="343DD92B" w14:textId="1533EDE6" w:rsidR="00035728" w:rsidRPr="00A730F0" w:rsidRDefault="00035728" w:rsidP="002D6487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</w:pPr>
                    <w:r w:rsidRPr="00A730F0"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  <w:t xml:space="preserve">Fachbereich </w:t>
                    </w:r>
                    <w:r w:rsidR="00F818B5"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  <w:t>Rechtswissenschaft</w:t>
                    </w:r>
                  </w:p>
                  <w:p w14:paraId="5EC8916C" w14:textId="77777777" w:rsidR="00035728" w:rsidRPr="00A730F0" w:rsidRDefault="00035728" w:rsidP="002D6487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</w:pPr>
                  </w:p>
                  <w:p w14:paraId="4F7FCCDA" w14:textId="423CA580" w:rsidR="00035728" w:rsidRPr="00A730F0" w:rsidRDefault="00F818B5" w:rsidP="002D6487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  <w:t xml:space="preserve">Professur für Öffentliches Recht </w:t>
                    </w:r>
                    <w:r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  <w:br/>
                      <w:t>mit Schwerpunkt Sozialrecht</w:t>
                    </w:r>
                  </w:p>
                  <w:p w14:paraId="3551478E" w14:textId="77777777" w:rsidR="00035728" w:rsidRPr="00A730F0" w:rsidRDefault="00035728" w:rsidP="002D6487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</w:pPr>
                  </w:p>
                  <w:p w14:paraId="0A32DFB1" w14:textId="77777777" w:rsidR="00035728" w:rsidRPr="00A730F0" w:rsidRDefault="00035728" w:rsidP="002D6487">
                    <w:pPr>
                      <w:pStyle w:val="LeerzeileAbsender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</w:pPr>
                  </w:p>
                  <w:p w14:paraId="5CBC3941" w14:textId="443DA5B8" w:rsidR="00035728" w:rsidRPr="00A730F0" w:rsidRDefault="00035728" w:rsidP="002D6487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</w:pPr>
                    <w:r w:rsidRPr="00A730F0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 xml:space="preserve">Prof. Dr. </w:t>
                    </w:r>
                    <w:r w:rsidR="00F818B5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Andrea Kießling</w:t>
                    </w:r>
                  </w:p>
                  <w:p w14:paraId="3BED560B" w14:textId="77777777" w:rsidR="00035728" w:rsidRPr="00A730F0" w:rsidRDefault="00035728" w:rsidP="002D6487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</w:pPr>
                  </w:p>
                  <w:p w14:paraId="1B0ABF43" w14:textId="654C98E2" w:rsidR="007C0B10" w:rsidRDefault="007C0B10" w:rsidP="001A604C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100" w:line="200" w:lineRule="exact"/>
                      <w:rPr>
                        <w:rFonts w:ascii="Arial Narrow" w:hAnsi="Arial Narrow"/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Besucheradresse</w:t>
                    </w: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br/>
                    </w:r>
                    <w:r w:rsidR="00663CC1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 xml:space="preserve">Campus Westend </w:t>
                    </w:r>
                    <w:r w:rsidR="00663CC1" w:rsidRPr="00663CC1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|</w:t>
                    </w:r>
                    <w:r w:rsidR="00663CC1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 xml:space="preserve"> </w:t>
                    </w:r>
                    <w:r w:rsidR="007355E6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IKB</w:t>
                    </w: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-Gebäude</w:t>
                    </w: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br/>
                    </w:r>
                    <w:bookmarkStart w:id="17" w:name="_Hlk102141806"/>
                    <w:r w:rsidR="007355E6" w:rsidRPr="007355E6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Eschersheimer Landstraße 121</w:t>
                    </w:r>
                    <w:bookmarkEnd w:id="17"/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br/>
                      <w:t>60</w:t>
                    </w:r>
                    <w:r w:rsidR="007355E6"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322</w:t>
                    </w: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 xml:space="preserve"> Frankfurt am Main</w:t>
                    </w:r>
                  </w:p>
                  <w:p w14:paraId="065829F6" w14:textId="77777777" w:rsidR="007C0B10" w:rsidRDefault="007C0B10" w:rsidP="001A604C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567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100" w:line="200" w:lineRule="exact"/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Postadresse</w:t>
                    </w: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br/>
                      <w:t>60629 Frankfurt am Main</w:t>
                    </w: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br/>
                      <w:t>Germany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7F4E73D1" w14:textId="580477A8" w:rsidR="00035728" w:rsidRPr="00A730F0" w:rsidRDefault="007355E6" w:rsidP="001A604C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567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</w:tabs>
                      <w:spacing w:after="100" w:line="200" w:lineRule="exact"/>
                      <w:rPr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>kiessling</w:t>
                    </w:r>
                    <w:r w:rsidR="007C0B10"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>@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>jur</w:t>
                    </w:r>
                    <w:r w:rsidR="007C0B10"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>.uni-frankfurt.de</w:t>
                    </w:r>
                    <w:r w:rsidR="007C0B10"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br/>
                      <w:t>www.uni-frankfurt.de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B8024C">
      <w:rPr>
        <w:noProof/>
        <w:lang w:eastAsia="de-DE"/>
      </w:rPr>
      <w:drawing>
        <wp:anchor distT="0" distB="0" distL="114935" distR="114935" simplePos="0" relativeHeight="251657216" behindDoc="1" locked="0" layoutInCell="1" allowOverlap="1" wp14:anchorId="6ABA923E" wp14:editId="12893735">
          <wp:simplePos x="0" y="0"/>
          <wp:positionH relativeFrom="page">
            <wp:posOffset>5762625</wp:posOffset>
          </wp:positionH>
          <wp:positionV relativeFrom="page">
            <wp:posOffset>542925</wp:posOffset>
          </wp:positionV>
          <wp:extent cx="1259205" cy="689610"/>
          <wp:effectExtent l="0" t="0" r="0" b="0"/>
          <wp:wrapTight wrapText="bothSides">
            <wp:wrapPolygon edited="0">
              <wp:start x="0" y="0"/>
              <wp:lineTo x="0" y="20884"/>
              <wp:lineTo x="21241" y="20884"/>
              <wp:lineTo x="21241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22"/>
    <w:rsid w:val="00030335"/>
    <w:rsid w:val="00032D18"/>
    <w:rsid w:val="00035728"/>
    <w:rsid w:val="00045695"/>
    <w:rsid w:val="00057BF8"/>
    <w:rsid w:val="00061DBE"/>
    <w:rsid w:val="000E57E6"/>
    <w:rsid w:val="001029D7"/>
    <w:rsid w:val="00123607"/>
    <w:rsid w:val="00151DAA"/>
    <w:rsid w:val="001564B4"/>
    <w:rsid w:val="00160758"/>
    <w:rsid w:val="001936F0"/>
    <w:rsid w:val="001A604C"/>
    <w:rsid w:val="001C68BA"/>
    <w:rsid w:val="001D1AF5"/>
    <w:rsid w:val="001D3116"/>
    <w:rsid w:val="00224785"/>
    <w:rsid w:val="00233A7C"/>
    <w:rsid w:val="002A6221"/>
    <w:rsid w:val="002A6932"/>
    <w:rsid w:val="002D6487"/>
    <w:rsid w:val="00325DC0"/>
    <w:rsid w:val="00326547"/>
    <w:rsid w:val="00386403"/>
    <w:rsid w:val="003928BF"/>
    <w:rsid w:val="003B01E8"/>
    <w:rsid w:val="003D50BA"/>
    <w:rsid w:val="003E726E"/>
    <w:rsid w:val="004364B8"/>
    <w:rsid w:val="00444AFA"/>
    <w:rsid w:val="00491A4E"/>
    <w:rsid w:val="00501BF6"/>
    <w:rsid w:val="00566E1E"/>
    <w:rsid w:val="00577422"/>
    <w:rsid w:val="005807FF"/>
    <w:rsid w:val="00586122"/>
    <w:rsid w:val="00595FA3"/>
    <w:rsid w:val="00634789"/>
    <w:rsid w:val="00661699"/>
    <w:rsid w:val="00663CC1"/>
    <w:rsid w:val="00697368"/>
    <w:rsid w:val="006D2E26"/>
    <w:rsid w:val="006D6A99"/>
    <w:rsid w:val="007355E6"/>
    <w:rsid w:val="00741D56"/>
    <w:rsid w:val="00766438"/>
    <w:rsid w:val="007B606A"/>
    <w:rsid w:val="007C0B10"/>
    <w:rsid w:val="007C766D"/>
    <w:rsid w:val="007F79D8"/>
    <w:rsid w:val="007F7C8E"/>
    <w:rsid w:val="00802DEC"/>
    <w:rsid w:val="008218EE"/>
    <w:rsid w:val="00834540"/>
    <w:rsid w:val="0084032B"/>
    <w:rsid w:val="0087238C"/>
    <w:rsid w:val="00887164"/>
    <w:rsid w:val="008B51DB"/>
    <w:rsid w:val="008B697D"/>
    <w:rsid w:val="009131CC"/>
    <w:rsid w:val="00977D2F"/>
    <w:rsid w:val="009C03B8"/>
    <w:rsid w:val="00A66283"/>
    <w:rsid w:val="00A730F0"/>
    <w:rsid w:val="00A857A0"/>
    <w:rsid w:val="00B106ED"/>
    <w:rsid w:val="00B23006"/>
    <w:rsid w:val="00B536EF"/>
    <w:rsid w:val="00B8024C"/>
    <w:rsid w:val="00C0374F"/>
    <w:rsid w:val="00C15F66"/>
    <w:rsid w:val="00C3122B"/>
    <w:rsid w:val="00C5591E"/>
    <w:rsid w:val="00C870AB"/>
    <w:rsid w:val="00C92E63"/>
    <w:rsid w:val="00CB7033"/>
    <w:rsid w:val="00CC6563"/>
    <w:rsid w:val="00CF1E70"/>
    <w:rsid w:val="00D37BDD"/>
    <w:rsid w:val="00D464BD"/>
    <w:rsid w:val="00D64E6F"/>
    <w:rsid w:val="00D74F74"/>
    <w:rsid w:val="00D87C89"/>
    <w:rsid w:val="00DC003E"/>
    <w:rsid w:val="00E129CA"/>
    <w:rsid w:val="00E47D13"/>
    <w:rsid w:val="00EA31DD"/>
    <w:rsid w:val="00EE1B18"/>
    <w:rsid w:val="00F02BD8"/>
    <w:rsid w:val="00F060E1"/>
    <w:rsid w:val="00F37F2E"/>
    <w:rsid w:val="00F818B5"/>
    <w:rsid w:val="00F8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431EFED7"/>
  <w15:chartTrackingRefBased/>
  <w15:docId w15:val="{1FED315E-A3BB-4FD3-AEF5-A42E9E44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BDD"/>
    <w:pPr>
      <w:spacing w:line="288" w:lineRule="auto"/>
    </w:pPr>
    <w:rPr>
      <w:rFonts w:ascii="Meridien Roman" w:eastAsia="ヒラギノ角ゴ Pro W3" w:hAnsi="Meridien Roman" w:cs="Meridien Roman"/>
      <w:noProof/>
      <w:color w:val="00000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eitenzahl1">
    <w:name w:val="Seitenzahl1"/>
    <w:rPr>
      <w:color w:val="000000"/>
      <w:sz w:val="20"/>
    </w:rPr>
  </w:style>
  <w:style w:type="character" w:styleId="Hyperlink">
    <w:name w:val="Hyperlink"/>
    <w:rPr>
      <w:color w:val="0563C1"/>
      <w:u w:val="single"/>
    </w:rPr>
  </w:style>
  <w:style w:type="character" w:customStyle="1" w:styleId="FuzeileZchn">
    <w:name w:val="Fußzeile Zchn"/>
    <w:uiPriority w:val="99"/>
    <w:rPr>
      <w:sz w:val="24"/>
      <w:szCs w:val="24"/>
      <w:lang w:val="en-US"/>
    </w:rPr>
  </w:style>
  <w:style w:type="character" w:customStyle="1" w:styleId="KopfzeileZchn">
    <w:name w:val="Kopfzeile Zchn"/>
    <w:uiPriority w:val="99"/>
    <w:rPr>
      <w:rFonts w:ascii="Calibri" w:hAnsi="Calibri" w:cs="Calibri"/>
      <w:sz w:val="22"/>
      <w:szCs w:val="22"/>
    </w:rPr>
  </w:style>
  <w:style w:type="character" w:styleId="Platzhaltertext">
    <w:name w:val="Placeholder Text"/>
    <w:rPr>
      <w:color w:val="808080"/>
    </w:rPr>
  </w:style>
  <w:style w:type="character" w:customStyle="1" w:styleId="FreieFormZchn">
    <w:name w:val="Freie Form Zchn"/>
    <w:rPr>
      <w:rFonts w:eastAsia="ヒラギノ角ゴ Pro W3"/>
      <w:color w:val="000000"/>
      <w:lang w:val="de-DE"/>
    </w:rPr>
  </w:style>
  <w:style w:type="character" w:customStyle="1" w:styleId="GuBriefpapierZchn">
    <w:name w:val="Gu Briefpapier Zchn"/>
    <w:rPr>
      <w:rFonts w:ascii="Meridien Roman" w:eastAsia="ヒラギノ角ゴ Pro W3" w:hAnsi="Meridien Roman" w:cs="Meridien Roman"/>
      <w:color w:val="000000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en-US"/>
    </w:rPr>
  </w:style>
  <w:style w:type="character" w:customStyle="1" w:styleId="KommentarthemaZchn">
    <w:name w:val="Kommentarthema Zchn"/>
    <w:rPr>
      <w:b/>
      <w:bCs/>
      <w:lang w:val="en-US"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  <w:lang w:val="en-US"/>
    </w:rPr>
  </w:style>
  <w:style w:type="character" w:customStyle="1" w:styleId="NamePMVerwaltungseinheitZchn">
    <w:name w:val="Name_PM/Verwaltungseinheit Zchn"/>
    <w:rPr>
      <w:rFonts w:ascii="Arial" w:eastAsia="ヒラギノ角ゴ Pro W3" w:hAnsi="Arial" w:cs="Arial"/>
      <w:color w:val="000000"/>
      <w:sz w:val="18"/>
    </w:rPr>
  </w:style>
  <w:style w:type="character" w:customStyle="1" w:styleId="InstitutZchn">
    <w:name w:val="Institut Zchn"/>
    <w:rPr>
      <w:rFonts w:ascii="Arial Narrow" w:eastAsia="ヒラギノ角ゴ Pro W3" w:hAnsi="Arial Narrow" w:cs="Arial Narrow"/>
      <w:color w:val="000000"/>
      <w:sz w:val="16"/>
    </w:rPr>
  </w:style>
  <w:style w:type="character" w:customStyle="1" w:styleId="DatumrechtsZchn">
    <w:name w:val="Datum rechts Zchn"/>
    <w:rPr>
      <w:rFonts w:ascii="Meridien Roman" w:eastAsia="ヒラギノ角ゴ Pro W3" w:hAnsi="Meridien Roman" w:cs="Meridien Roman"/>
      <w:color w:val="000000"/>
      <w:sz w:val="18"/>
    </w:rPr>
  </w:style>
  <w:style w:type="character" w:customStyle="1" w:styleId="AbtandDatumZchn">
    <w:name w:val="Abtand Datum Zchn"/>
    <w:rPr>
      <w:rFonts w:ascii="Meridien Roman" w:eastAsia="ヒラギノ角ゴ Pro W3" w:hAnsi="Meridien Roman" w:cs="Meridien Roman"/>
      <w:color w:val="000000"/>
      <w:sz w:val="24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FreieForm">
    <w:name w:val="Freie Form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Standard1">
    <w:name w:val="Standard1"/>
    <w:pPr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customStyle="1" w:styleId="Kopfzeile1">
    <w:name w:val="Kopfzeile1"/>
    <w:pPr>
      <w:tabs>
        <w:tab w:val="center" w:pos="4536"/>
        <w:tab w:val="right" w:pos="9072"/>
      </w:tabs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styleId="Umschlagabsenderadresse">
    <w:name w:val="envelope return"/>
    <w:pPr>
      <w:suppressAutoHyphens/>
      <w:spacing w:after="40"/>
      <w:jc w:val="both"/>
    </w:pPr>
    <w:rPr>
      <w:rFonts w:ascii="Arial" w:eastAsia="ヒラギノ角ゴ Pro W3" w:hAnsi="Arial" w:cs="Arial"/>
      <w:color w:val="000000"/>
      <w:sz w:val="14"/>
      <w:lang w:eastAsia="ar-SA"/>
    </w:rPr>
  </w:style>
  <w:style w:type="paragraph" w:customStyle="1" w:styleId="NamePMVerwaltungseinheit">
    <w:name w:val="Name_PM/Verwaltungseinheit"/>
    <w:pPr>
      <w:suppressAutoHyphens/>
    </w:pPr>
    <w:rPr>
      <w:rFonts w:ascii="Arial" w:eastAsia="ヒラギノ角ゴ Pro W3" w:hAnsi="Arial" w:cs="Arial"/>
      <w:color w:val="000000"/>
      <w:sz w:val="18"/>
      <w:lang w:eastAsia="ar-SA"/>
    </w:rPr>
  </w:style>
  <w:style w:type="paragraph" w:customStyle="1" w:styleId="LeerzeileAbsender">
    <w:name w:val="Leerzeile_Absender"/>
    <w:pPr>
      <w:suppressAutoHyphens/>
    </w:pPr>
    <w:rPr>
      <w:rFonts w:ascii="Arial" w:eastAsia="ヒラギノ角ゴ Pro W3" w:hAnsi="Arial" w:cs="Arial"/>
      <w:color w:val="000000"/>
      <w:sz w:val="14"/>
      <w:lang w:eastAsia="ar-SA"/>
    </w:rPr>
  </w:style>
  <w:style w:type="paragraph" w:customStyle="1" w:styleId="Fuzeile1">
    <w:name w:val="Fußzeile1"/>
    <w:pPr>
      <w:tabs>
        <w:tab w:val="center" w:pos="4536"/>
        <w:tab w:val="right" w:pos="9072"/>
      </w:tabs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styleId="Fuzeile">
    <w:name w:val="footer"/>
    <w:basedOn w:val="Standard"/>
    <w:link w:val="FuzeileZchn1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uiPriority w:val="99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paragraph" w:customStyle="1" w:styleId="GuBriefpapier">
    <w:name w:val="Gu Briefpapier"/>
    <w:basedOn w:val="FreieForm"/>
    <w:pPr>
      <w:spacing w:line="288" w:lineRule="auto"/>
    </w:pPr>
    <w:rPr>
      <w:rFonts w:ascii="Meridien Roman" w:hAnsi="Meridien Roman" w:cs="Meridien Roman"/>
    </w:rPr>
  </w:style>
  <w:style w:type="paragraph" w:customStyle="1" w:styleId="Kommentartext1">
    <w:name w:val="Kommentartext1"/>
    <w:basedOn w:val="Standard"/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Institut">
    <w:name w:val="Institut"/>
    <w:basedOn w:val="NamePMVerwaltungseinheit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</w:pPr>
    <w:rPr>
      <w:rFonts w:ascii="Arial Narrow" w:hAnsi="Arial Narrow" w:cs="Arial Narrow"/>
      <w:sz w:val="16"/>
    </w:rPr>
  </w:style>
  <w:style w:type="paragraph" w:customStyle="1" w:styleId="Datumrechts">
    <w:name w:val="Datum rechts"/>
    <w:basedOn w:val="NamePMVerwaltungseinheit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</w:pPr>
    <w:rPr>
      <w:rFonts w:ascii="Meridien Roman" w:hAnsi="Meridien Roman" w:cs="Meridien Roman"/>
      <w:sz w:val="20"/>
    </w:rPr>
  </w:style>
  <w:style w:type="paragraph" w:customStyle="1" w:styleId="AbtandDatum">
    <w:name w:val="Abtand Datum"/>
    <w:basedOn w:val="Datumrechts"/>
    <w:rPr>
      <w:sz w:val="24"/>
      <w:szCs w:val="24"/>
    </w:rPr>
  </w:style>
  <w:style w:type="paragraph" w:customStyle="1" w:styleId="Adresszeile">
    <w:name w:val="Adresszeile"/>
    <w:pPr>
      <w:tabs>
        <w:tab w:val="left" w:pos="6804"/>
        <w:tab w:val="left" w:pos="7090"/>
        <w:tab w:val="left" w:pos="7799"/>
        <w:tab w:val="left" w:pos="8508"/>
        <w:tab w:val="left" w:pos="9217"/>
      </w:tabs>
      <w:suppressAutoHyphens/>
    </w:pPr>
    <w:rPr>
      <w:rFonts w:ascii="Arial Narrow" w:hAnsi="Arial Narrow" w:cs="Arial Narrow"/>
      <w:sz w:val="12"/>
      <w:szCs w:val="12"/>
      <w:lang w:eastAsia="ar-SA"/>
    </w:rPr>
  </w:style>
  <w:style w:type="paragraph" w:customStyle="1" w:styleId="Rahmeninhalt">
    <w:name w:val="Rahmeninhalt"/>
    <w:basedOn w:val="Textkrper"/>
  </w:style>
  <w:style w:type="paragraph" w:customStyle="1" w:styleId="Pagina">
    <w:name w:val="Pagina"/>
    <w:basedOn w:val="Fuzeile"/>
    <w:link w:val="PaginaZchn"/>
    <w:qFormat/>
    <w:rsid w:val="005807FF"/>
    <w:rPr>
      <w:rFonts w:ascii="Arial Narrow" w:hAnsi="Arial Narrow"/>
      <w:sz w:val="18"/>
      <w:szCs w:val="18"/>
    </w:rPr>
  </w:style>
  <w:style w:type="character" w:customStyle="1" w:styleId="FuzeileZchn1">
    <w:name w:val="Fußzeile Zchn1"/>
    <w:basedOn w:val="Absatz-Standardschriftart"/>
    <w:link w:val="Fuzeile"/>
    <w:uiPriority w:val="99"/>
    <w:rsid w:val="005807FF"/>
    <w:rPr>
      <w:rFonts w:ascii="Meridien Roman" w:eastAsia="ヒラギノ角ゴ Pro W3" w:hAnsi="Meridien Roman" w:cs="Meridien Roman"/>
      <w:noProof/>
      <w:color w:val="000000"/>
      <w:lang w:eastAsia="ar-SA"/>
    </w:rPr>
  </w:style>
  <w:style w:type="character" w:customStyle="1" w:styleId="PaginaZchn">
    <w:name w:val="Pagina Zchn"/>
    <w:basedOn w:val="FuzeileZchn1"/>
    <w:link w:val="Pagina"/>
    <w:rsid w:val="005807FF"/>
    <w:rPr>
      <w:rFonts w:ascii="Arial Narrow" w:eastAsia="ヒラギノ角ゴ Pro W3" w:hAnsi="Arial Narrow" w:cs="Meridien Roman"/>
      <w:noProof/>
      <w:color w:val="000000"/>
      <w:sz w:val="18"/>
      <w:szCs w:val="18"/>
      <w:lang w:eastAsia="ar-SA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A6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erfassungsblog.de/keine-prioritat-fur-die-rechtswissenschaft/" TargetMode="External"/><Relationship Id="rId18" Type="http://schemas.openxmlformats.org/officeDocument/2006/relationships/hyperlink" Target="https://verfassungsblog.de/fighting-covid-19-legal-powers-and-risks-germany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juwiss.de/20-2015/" TargetMode="External"/><Relationship Id="rId7" Type="http://schemas.openxmlformats.org/officeDocument/2006/relationships/hyperlink" Target="https://www.mohrsiebeck.com/buch/das-recht-der-oeffentlichen-gesundheit-9783161616891?no_cache=1" TargetMode="External"/><Relationship Id="rId12" Type="http://schemas.openxmlformats.org/officeDocument/2006/relationships/hyperlink" Target="https://verfassungsblog.de/die-konstruktionsfehler-des-%c2%a7-28a-ifsg/" TargetMode="External"/><Relationship Id="rId17" Type="http://schemas.openxmlformats.org/officeDocument/2006/relationships/hyperlink" Target="https://www.juwiss.de/33-2020/" TargetMode="External"/><Relationship Id="rId25" Type="http://schemas.openxmlformats.org/officeDocument/2006/relationships/hyperlink" Target="http://www.juwiss.de/das-recht-auf-kenntnis-der-eigenen-abstammung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erfassungsblog.de/offene-fragen-der-massenquarantaene/" TargetMode="External"/><Relationship Id="rId20" Type="http://schemas.openxmlformats.org/officeDocument/2006/relationships/hyperlink" Target="https://verfassungsblog.de/coronavirus-masern-und-die-grundrechte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erfassungsblog.de/schulschliesung-ist-nicht-gleich-schulschliesung/" TargetMode="External"/><Relationship Id="rId24" Type="http://schemas.openxmlformats.org/officeDocument/2006/relationships/hyperlink" Target="http://www.juwiss.de/70-2014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erfassungsblog.de/was-verlangen-parlamentsvorbehalt-und-bestimmtheitsgebot/" TargetMode="External"/><Relationship Id="rId23" Type="http://schemas.openxmlformats.org/officeDocument/2006/relationships/hyperlink" Target="http://www.juwiss.de/134-2014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lto.de/recht/hintergruende/h/neues-epidemiegesetz-ifsg-nach-corona-wieder-pandemie-reform-manahmen-rechtsgrundlagen-vorschlag0/" TargetMode="External"/><Relationship Id="rId19" Type="http://schemas.openxmlformats.org/officeDocument/2006/relationships/hyperlink" Target="https://www.juwiss.de/29-2020/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justament.de/archives/12859" TargetMode="External"/><Relationship Id="rId14" Type="http://schemas.openxmlformats.org/officeDocument/2006/relationships/hyperlink" Target="https://verfassungsblog.de/bald-wird-geimpft/" TargetMode="External"/><Relationship Id="rId22" Type="http://schemas.openxmlformats.org/officeDocument/2006/relationships/hyperlink" Target="http://www.juwiss.de/27-2015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www.nomos-elibrary.de/10.5771/9783748913467/epidemiegesetz?page=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255AB-569B-4AB9-83C2-DB5239FC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2062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</vt:lpstr>
    </vt:vector>
  </TitlesOfParts>
  <Company/>
  <LinksUpToDate>false</LinksUpToDate>
  <CharactersWithSpaces>15029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</dc:title>
  <dc:subject/>
  <dc:creator>Goethe-Universität</dc:creator>
  <cp:keywords/>
  <cp:lastModifiedBy>Andrea Kießling</cp:lastModifiedBy>
  <cp:revision>16</cp:revision>
  <cp:lastPrinted>2022-05-02T06:07:00Z</cp:lastPrinted>
  <dcterms:created xsi:type="dcterms:W3CDTF">2022-09-21T18:44:00Z</dcterms:created>
  <dcterms:modified xsi:type="dcterms:W3CDTF">2023-04-11T19:39:00Z</dcterms:modified>
</cp:coreProperties>
</file>